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8"/>
        <w:tabs>
          <w:tab w:val="right" w:pos="9282"/>
          <w:tab w:val="right" w:pos="9492"/>
          <w:tab w:val="clear" w:pos="4536"/>
          <w:tab w:val="clear" w:pos="9072"/>
        </w:tabs>
        <w:adjustRightInd w:val="0"/>
        <w:snapToGrid w:val="0"/>
        <w:spacing w:before="0" w:beforeLines="0" w:after="0" w:line="240" w:lineRule="auto"/>
        <w:rPr>
          <w:rFonts w:eastAsia="宋体" w:cs="Arial"/>
          <w:b w:val="0"/>
          <w:bCs/>
          <w:sz w:val="22"/>
          <w:szCs w:val="22"/>
          <w:lang w:eastAsia="zh-CN"/>
        </w:rPr>
      </w:pPr>
      <w:r>
        <w:rPr>
          <w:rFonts w:cs="Arial"/>
          <w:bCs/>
          <w:sz w:val="22"/>
          <w:szCs w:val="22"/>
        </w:rPr>
        <w:t>3GPP TSG RAN WG1 Meeting #10</w:t>
      </w:r>
      <w:r>
        <w:rPr>
          <w:rFonts w:hint="eastAsia" w:eastAsia="宋体" w:cs="Arial"/>
          <w:bCs/>
          <w:sz w:val="22"/>
          <w:szCs w:val="22"/>
          <w:lang w:eastAsia="zh-CN"/>
        </w:rPr>
        <w:t>6</w:t>
      </w:r>
      <w:r>
        <w:rPr>
          <w:rFonts w:hint="eastAsia" w:cs="Arial"/>
          <w:bCs/>
          <w:sz w:val="22"/>
          <w:szCs w:val="22"/>
        </w:rPr>
        <w:t xml:space="preserve">-e       </w:t>
      </w:r>
      <w:r>
        <w:rPr>
          <w:rFonts w:cs="Arial"/>
          <w:bCs/>
          <w:sz w:val="22"/>
          <w:szCs w:val="22"/>
        </w:rPr>
        <w:t xml:space="preserve">                            </w:t>
      </w:r>
      <w:r>
        <w:rPr>
          <w:rFonts w:hint="eastAsia" w:cs="Arial"/>
          <w:bCs/>
          <w:sz w:val="22"/>
          <w:szCs w:val="22"/>
        </w:rPr>
        <w:t xml:space="preserve">             </w:t>
      </w:r>
      <w:r>
        <w:rPr>
          <w:rFonts w:cs="Arial"/>
          <w:bCs/>
          <w:sz w:val="22"/>
          <w:szCs w:val="22"/>
        </w:rPr>
        <w:t xml:space="preserve">  </w:t>
      </w:r>
      <w:r>
        <w:rPr>
          <w:rFonts w:hint="eastAsia" w:cs="Arial"/>
          <w:bCs/>
          <w:sz w:val="22"/>
          <w:szCs w:val="22"/>
        </w:rPr>
        <w:tab/>
      </w:r>
      <w:r>
        <w:rPr>
          <w:rFonts w:cs="Arial"/>
          <w:bCs/>
          <w:sz w:val="22"/>
          <w:szCs w:val="22"/>
        </w:rPr>
        <w:t xml:space="preserve"> </w:t>
      </w:r>
      <w:r>
        <w:rPr>
          <w:rFonts w:hint="eastAsia" w:cs="Arial"/>
          <w:bCs/>
          <w:sz w:val="22"/>
          <w:szCs w:val="22"/>
        </w:rPr>
        <w:t xml:space="preserve">         </w:t>
      </w:r>
      <w:r>
        <w:rPr>
          <w:rFonts w:cs="Arial"/>
          <w:bCs/>
          <w:sz w:val="22"/>
          <w:szCs w:val="22"/>
        </w:rPr>
        <w:t xml:space="preserve">  </w:t>
      </w:r>
      <w:r>
        <w:rPr>
          <w:rFonts w:hint="eastAsia" w:cs="Arial"/>
          <w:bCs/>
          <w:sz w:val="22"/>
          <w:szCs w:val="22"/>
        </w:rPr>
        <w:t xml:space="preserve">  </w:t>
      </w:r>
      <w:r>
        <w:rPr>
          <w:rFonts w:cs="Arial"/>
          <w:bCs/>
          <w:sz w:val="22"/>
          <w:szCs w:val="22"/>
        </w:rPr>
        <w:t>R1-210</w:t>
      </w:r>
      <w:r>
        <w:rPr>
          <w:rFonts w:hint="eastAsia" w:eastAsia="宋体" w:cs="Arial"/>
          <w:bCs/>
          <w:sz w:val="22"/>
          <w:szCs w:val="22"/>
          <w:lang w:eastAsia="zh-CN"/>
        </w:rPr>
        <w:t>6544</w:t>
      </w:r>
      <w:r>
        <w:rPr>
          <w:rFonts w:cs="Arial"/>
          <w:bCs/>
          <w:sz w:val="22"/>
          <w:szCs w:val="22"/>
        </w:rPr>
        <w:t xml:space="preserve"> </w:t>
      </w:r>
    </w:p>
    <w:p>
      <w:pPr>
        <w:tabs>
          <w:tab w:val="center" w:pos="4536"/>
          <w:tab w:val="right" w:pos="8280"/>
          <w:tab w:val="right" w:pos="9639"/>
        </w:tabs>
        <w:snapToGrid w:val="0"/>
        <w:spacing w:before="120"/>
        <w:ind w:left="402" w:right="2" w:hanging="402" w:hangingChars="200"/>
        <w:rPr>
          <w:rFonts w:ascii="Arial" w:hAnsi="Arial" w:cs="Arial"/>
          <w:b/>
          <w:sz w:val="22"/>
          <w:szCs w:val="22"/>
        </w:rPr>
      </w:pPr>
      <w:r>
        <w:rPr>
          <w:rFonts w:ascii="Arial" w:hAnsi="Arial"/>
          <w:b/>
        </w:rPr>
        <w:t xml:space="preserve">e-Meeting, </w:t>
      </w:r>
      <w:r>
        <w:rPr>
          <w:rFonts w:ascii="Arial" w:hAnsi="Arial" w:cs="Arial"/>
          <w:b/>
          <w:sz w:val="22"/>
          <w:szCs w:val="22"/>
          <w:lang w:eastAsia="ja-JP"/>
        </w:rPr>
        <w:t xml:space="preserve"> </w:t>
      </w:r>
      <w:r>
        <w:rPr>
          <w:rFonts w:hint="eastAsia" w:ascii="Arial" w:hAnsi="Arial"/>
          <w:b/>
          <w:sz w:val="22"/>
          <w:lang w:eastAsia="ja-JP"/>
        </w:rPr>
        <w:t>August 16</w:t>
      </w:r>
      <w:r>
        <w:rPr>
          <w:rFonts w:hint="eastAsia" w:ascii="Arial" w:hAnsi="Arial"/>
          <w:b/>
          <w:sz w:val="22"/>
          <w:vertAlign w:val="superscript"/>
          <w:lang w:eastAsia="ja-JP"/>
        </w:rPr>
        <w:t>th</w:t>
      </w:r>
      <w:r>
        <w:rPr>
          <w:rFonts w:hint="eastAsia" w:ascii="Arial" w:hAnsi="Arial"/>
          <w:b/>
          <w:sz w:val="22"/>
          <w:lang w:eastAsia="ja-JP"/>
        </w:rPr>
        <w:t xml:space="preserve"> </w:t>
      </w:r>
      <w:r>
        <w:rPr>
          <w:rFonts w:ascii="Arial" w:hAnsi="Arial" w:eastAsia="MS Mincho" w:cs="Arial"/>
          <w:b/>
          <w:bCs/>
          <w:sz w:val="22"/>
          <w:szCs w:val="22"/>
          <w:lang w:eastAsia="ja-JP"/>
        </w:rPr>
        <w:t>–</w:t>
      </w:r>
      <w:r>
        <w:rPr>
          <w:rFonts w:hint="eastAsia" w:ascii="Arial" w:hAnsi="Arial"/>
          <w:b/>
          <w:sz w:val="22"/>
          <w:lang w:eastAsia="ja-JP"/>
        </w:rPr>
        <w:t xml:space="preserve"> 27</w:t>
      </w:r>
      <w:r>
        <w:rPr>
          <w:rFonts w:hint="eastAsia" w:ascii="Arial" w:hAnsi="Arial"/>
          <w:b/>
          <w:sz w:val="22"/>
          <w:vertAlign w:val="superscript"/>
          <w:lang w:eastAsia="ja-JP"/>
        </w:rPr>
        <w:t>th</w:t>
      </w:r>
      <w:r>
        <w:rPr>
          <w:rFonts w:hint="eastAsia" w:ascii="Arial" w:hAnsi="Arial"/>
          <w:b/>
          <w:sz w:val="22"/>
          <w:lang w:eastAsia="ja-JP"/>
        </w:rPr>
        <w:t>, 202</w:t>
      </w:r>
      <w:r>
        <w:rPr>
          <w:rFonts w:hint="eastAsia" w:ascii="Arial" w:hAnsi="Arial"/>
          <w:b/>
          <w:sz w:val="22"/>
        </w:rPr>
        <w:t>1</w:t>
      </w:r>
    </w:p>
    <w:p>
      <w:pPr>
        <w:adjustRightInd w:val="0"/>
        <w:snapToGrid w:val="0"/>
        <w:spacing w:before="0" w:beforeLines="0" w:afterLines="50" w:line="240" w:lineRule="auto"/>
        <w:rPr>
          <w:rFonts w:ascii="Arial" w:hAnsi="Arial" w:eastAsia="MS Mincho"/>
          <w:b/>
          <w:lang w:eastAsia="ja-JP"/>
        </w:rPr>
      </w:pPr>
      <w:r>
        <w:rPr>
          <w:rFonts w:hint="eastAsia" w:ascii="Arial" w:hAnsi="Arial" w:eastAsia="MS Mincho"/>
          <w:b/>
          <w:lang w:eastAsia="ja-JP"/>
        </w:rPr>
        <w:t xml:space="preserve">Source:              </w:t>
      </w:r>
      <w:r>
        <w:rPr>
          <w:rFonts w:ascii="Arial" w:hAnsi="Arial" w:eastAsia="MS Mincho"/>
          <w:b/>
          <w:lang w:eastAsia="ja-JP"/>
        </w:rPr>
        <w:t xml:space="preserve">   </w:t>
      </w:r>
      <w:r>
        <w:rPr>
          <w:rFonts w:hint="eastAsia" w:ascii="Arial" w:hAnsi="Arial" w:eastAsia="MS Mincho"/>
          <w:b/>
          <w:lang w:eastAsia="ja-JP"/>
        </w:rPr>
        <w:t>ZTE</w:t>
      </w:r>
    </w:p>
    <w:p>
      <w:pPr>
        <w:pStyle w:val="18"/>
        <w:tabs>
          <w:tab w:val="clear" w:pos="4536"/>
        </w:tabs>
        <w:snapToGrid w:val="0"/>
        <w:spacing w:before="0" w:beforeLines="0" w:after="0" w:line="240" w:lineRule="auto"/>
        <w:ind w:left="1698" w:hanging="1698" w:hangingChars="769"/>
        <w:rPr>
          <w:rFonts w:eastAsia="宋体"/>
          <w:sz w:val="22"/>
          <w:szCs w:val="22"/>
          <w:lang w:eastAsia="zh-CN"/>
        </w:rPr>
      </w:pPr>
      <w:r>
        <w:rPr>
          <w:rFonts w:eastAsia="宋体"/>
          <w:sz w:val="22"/>
          <w:szCs w:val="22"/>
          <w:lang w:eastAsia="zh-CN"/>
        </w:rPr>
        <w:t>Title:</w:t>
      </w:r>
      <w:r>
        <w:rPr>
          <w:rFonts w:hint="eastAsia" w:eastAsia="宋体"/>
          <w:sz w:val="22"/>
          <w:szCs w:val="22"/>
          <w:lang w:eastAsia="zh-CN"/>
        </w:rPr>
        <w:t xml:space="preserve">                   </w:t>
      </w:r>
      <w:r>
        <w:rPr>
          <w:rFonts w:eastAsia="宋体"/>
          <w:sz w:val="22"/>
          <w:szCs w:val="22"/>
          <w:lang w:eastAsia="zh-CN"/>
        </w:rPr>
        <w:t>Enhancements on beam management for multi-TRP</w:t>
      </w:r>
    </w:p>
    <w:p>
      <w:pPr>
        <w:pStyle w:val="18"/>
        <w:tabs>
          <w:tab w:val="clear" w:pos="4536"/>
        </w:tabs>
        <w:snapToGrid w:val="0"/>
        <w:spacing w:before="0" w:beforeLines="0" w:after="0" w:line="240" w:lineRule="auto"/>
        <w:rPr>
          <w:rFonts w:eastAsia="宋体"/>
          <w:sz w:val="22"/>
          <w:szCs w:val="22"/>
          <w:lang w:eastAsia="zh-CN"/>
        </w:rPr>
      </w:pPr>
      <w:r>
        <w:rPr>
          <w:rFonts w:eastAsia="宋体"/>
          <w:sz w:val="22"/>
          <w:szCs w:val="22"/>
          <w:lang w:eastAsia="zh-CN"/>
        </w:rPr>
        <w:t>Agenda Item:</w:t>
      </w:r>
      <w:bookmarkStart w:id="0" w:name="Source"/>
      <w:bookmarkEnd w:id="0"/>
      <w:r>
        <w:rPr>
          <w:rFonts w:hint="eastAsia" w:eastAsia="宋体"/>
          <w:sz w:val="22"/>
          <w:szCs w:val="22"/>
          <w:lang w:eastAsia="zh-CN"/>
        </w:rPr>
        <w:t xml:space="preserve">     </w:t>
      </w:r>
      <w:r>
        <w:rPr>
          <w:rFonts w:eastAsia="宋体"/>
          <w:sz w:val="22"/>
          <w:szCs w:val="22"/>
          <w:lang w:eastAsia="zh-CN"/>
        </w:rPr>
        <w:t>8.1.2.3</w:t>
      </w:r>
    </w:p>
    <w:p>
      <w:pPr>
        <w:pStyle w:val="18"/>
        <w:tabs>
          <w:tab w:val="clear" w:pos="4536"/>
        </w:tabs>
        <w:snapToGrid w:val="0"/>
        <w:spacing w:before="0" w:beforeLines="0" w:after="0" w:line="240" w:lineRule="auto"/>
        <w:rPr>
          <w:rFonts w:eastAsia="宋体"/>
          <w:sz w:val="22"/>
          <w:szCs w:val="22"/>
          <w:lang w:eastAsia="zh-CN"/>
        </w:rPr>
      </w:pPr>
      <w:r>
        <w:rPr>
          <w:rFonts w:eastAsia="宋体"/>
          <w:sz w:val="22"/>
          <w:szCs w:val="22"/>
          <w:lang w:eastAsia="zh-CN"/>
        </w:rPr>
        <w:t>Document for:</w:t>
      </w:r>
      <w:bookmarkStart w:id="1" w:name="DocumentFor"/>
      <w:bookmarkEnd w:id="1"/>
      <w:r>
        <w:rPr>
          <w:rFonts w:hint="eastAsia" w:eastAsia="宋体"/>
          <w:sz w:val="22"/>
          <w:szCs w:val="22"/>
          <w:lang w:eastAsia="zh-CN"/>
        </w:rPr>
        <w:t xml:space="preserve">   </w:t>
      </w:r>
      <w:r>
        <w:rPr>
          <w:rFonts w:eastAsia="宋体"/>
          <w:sz w:val="22"/>
          <w:szCs w:val="22"/>
          <w:lang w:eastAsia="zh-CN"/>
        </w:rPr>
        <w:t>Discussion and Decision</w:t>
      </w:r>
    </w:p>
    <w:p>
      <w:pPr>
        <w:pBdr>
          <w:bottom w:val="single" w:color="auto" w:sz="4" w:space="1"/>
        </w:pBdr>
        <w:tabs>
          <w:tab w:val="left" w:pos="2552"/>
        </w:tabs>
        <w:snapToGrid w:val="0"/>
        <w:spacing w:before="120"/>
        <w:rPr>
          <w:sz w:val="4"/>
          <w:szCs w:val="4"/>
        </w:rPr>
      </w:pPr>
    </w:p>
    <w:p>
      <w:pPr>
        <w:numPr>
          <w:ilvl w:val="0"/>
          <w:numId w:val="1"/>
        </w:numPr>
        <w:tabs>
          <w:tab w:val="clear" w:pos="432"/>
        </w:tabs>
        <w:snapToGrid w:val="0"/>
        <w:spacing w:before="120" w:afterLines="50"/>
        <w:ind w:left="425" w:hanging="425"/>
        <w:outlineLvl w:val="0"/>
        <w:rPr>
          <w:b/>
          <w:sz w:val="28"/>
          <w:szCs w:val="28"/>
        </w:rPr>
      </w:pPr>
      <w:r>
        <w:rPr>
          <w:b/>
          <w:sz w:val="28"/>
          <w:szCs w:val="28"/>
        </w:rPr>
        <w:t>Introduction</w:t>
      </w:r>
    </w:p>
    <w:p>
      <w:pPr>
        <w:overflowPunct w:val="0"/>
        <w:autoSpaceDE w:val="0"/>
        <w:autoSpaceDN w:val="0"/>
        <w:adjustRightInd w:val="0"/>
        <w:spacing w:before="120"/>
        <w:textAlignment w:val="baseline"/>
        <w:rPr>
          <w:rFonts w:eastAsia="微软雅黑"/>
        </w:rPr>
      </w:pPr>
      <w:r>
        <w:t>Regarding beam management for multi-TRP which is one of the objectives in the W</w:t>
      </w:r>
      <w:r>
        <w:rPr>
          <w:rFonts w:eastAsia="微软雅黑"/>
        </w:rPr>
        <w:t>ID [1], some potential enhancements on beam management for multi-TRP including DL beam measurement and reporting with multi-panel reception, and TRP-specific beam recovery are discussed for NR Rel-17 in this contribution.</w:t>
      </w:r>
    </w:p>
    <w:p>
      <w:pPr>
        <w:numPr>
          <w:ilvl w:val="0"/>
          <w:numId w:val="1"/>
        </w:numPr>
        <w:tabs>
          <w:tab w:val="clear" w:pos="432"/>
        </w:tabs>
        <w:snapToGrid w:val="0"/>
        <w:spacing w:before="120" w:afterLines="50"/>
        <w:ind w:left="425" w:hanging="425"/>
        <w:outlineLvl w:val="0"/>
        <w:rPr>
          <w:b/>
          <w:sz w:val="28"/>
          <w:szCs w:val="28"/>
        </w:rPr>
      </w:pPr>
      <w:r>
        <w:rPr>
          <w:b/>
          <w:sz w:val="28"/>
          <w:szCs w:val="28"/>
        </w:rPr>
        <w:t>Enhancement(s) on DL beam measurement and reporting</w:t>
      </w:r>
    </w:p>
    <w:p>
      <w:pPr>
        <w:overflowPunct w:val="0"/>
        <w:autoSpaceDE w:val="0"/>
        <w:autoSpaceDN w:val="0"/>
        <w:adjustRightInd w:val="0"/>
        <w:spacing w:before="120"/>
        <w:textAlignment w:val="baseline"/>
        <w:rPr>
          <w:rFonts w:eastAsia="微软雅黑"/>
          <w:lang w:val="en-GB"/>
        </w:rPr>
      </w:pPr>
      <w:r>
        <w:rPr>
          <w:rFonts w:eastAsia="微软雅黑"/>
          <w:lang w:val="en-GB"/>
        </w:rPr>
        <w:t>In this section, some potential enhancements including beam reporting for facilitating inter-TRP pairing and CSI framework for multi-panel/TRP based beam measurement are discussed for NR Rel-17.</w:t>
      </w:r>
    </w:p>
    <w:p>
      <w:pPr>
        <w:numPr>
          <w:ilvl w:val="1"/>
          <w:numId w:val="1"/>
        </w:numPr>
        <w:snapToGrid w:val="0"/>
        <w:spacing w:before="120" w:afterLines="50"/>
        <w:outlineLvl w:val="1"/>
        <w:rPr>
          <w:b/>
          <w:sz w:val="28"/>
        </w:rPr>
      </w:pPr>
      <w:r>
        <w:rPr>
          <w:b/>
          <w:sz w:val="28"/>
        </w:rPr>
        <w:t>Enhancements on DL beam reporting</w:t>
      </w:r>
    </w:p>
    <w:p>
      <w:pPr>
        <w:overflowPunct w:val="0"/>
        <w:autoSpaceDE w:val="0"/>
        <w:autoSpaceDN w:val="0"/>
        <w:adjustRightInd w:val="0"/>
        <w:spacing w:before="120"/>
        <w:textAlignment w:val="baseline"/>
        <w:rPr>
          <w:rFonts w:eastAsia="微软雅黑"/>
          <w:lang w:val="en-GB"/>
        </w:rPr>
      </w:pPr>
      <w:r>
        <w:t xml:space="preserve">Beam reporting that informs gNB which pairs of multiple beams can be received simultaneously (which implicitly provides the mapping between UE panel and gNB beam) should be regarded as an essential solution for supporting the multi-panel operation of both DL and UL transmission (including DL multi-panel reception and UL fast panel selection). </w:t>
      </w:r>
      <w:r>
        <w:rPr>
          <w:rFonts w:eastAsia="微软雅黑"/>
          <w:lang w:val="en-GB"/>
        </w:rPr>
        <w:t xml:space="preserve">In RAN1#103-e, the following agreement on candidate solutions for facilitating inter-TRP beam pairing was agreed. </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21"/>
              <w:spacing w:before="12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pStyle w:val="21"/>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Down-select at least one of the following options for beam measurement/reporting enhancement to facilitate inter-TRP beam pairing in RAN1 #104-e</w:t>
            </w:r>
          </w:p>
          <w:p>
            <w:pPr>
              <w:pStyle w:val="45"/>
              <w:numPr>
                <w:ilvl w:val="0"/>
                <w:numId w:val="6"/>
              </w:numPr>
              <w:snapToGrid w:val="0"/>
              <w:spacing w:beforeLines="0" w:after="0" w:line="240" w:lineRule="auto"/>
              <w:rPr>
                <w:rFonts w:ascii="Times" w:hAnsi="Times" w:cs="Times"/>
              </w:rPr>
            </w:pPr>
            <w:r>
              <w:rPr>
                <w:rFonts w:cs="Times"/>
              </w:rPr>
              <w:t>Option 1: In a CSI-report, UE can report N&gt;1 pair/groups and M&gt;=1 beams per pair/group</w:t>
            </w:r>
          </w:p>
          <w:p>
            <w:pPr>
              <w:pStyle w:val="45"/>
              <w:numPr>
                <w:ilvl w:val="1"/>
                <w:numId w:val="6"/>
              </w:numPr>
              <w:snapToGrid w:val="0"/>
              <w:spacing w:beforeLines="0" w:after="0" w:line="240" w:lineRule="auto"/>
              <w:rPr>
                <w:rFonts w:cs="Times"/>
              </w:rPr>
            </w:pPr>
            <w:r>
              <w:rPr>
                <w:rFonts w:cs="Times"/>
              </w:rPr>
              <w:t>Different beams in different pairs/groups can be received simultaneously </w:t>
            </w:r>
          </w:p>
          <w:p>
            <w:pPr>
              <w:pStyle w:val="45"/>
              <w:numPr>
                <w:ilvl w:val="1"/>
                <w:numId w:val="6"/>
              </w:numPr>
              <w:snapToGrid w:val="0"/>
              <w:spacing w:beforeLines="0" w:after="0" w:line="240" w:lineRule="auto"/>
              <w:rPr>
                <w:rFonts w:cs="Times"/>
              </w:rPr>
            </w:pPr>
            <w:r>
              <w:rPr>
                <w:rFonts w:cs="Times"/>
              </w:rPr>
              <w:t>FFS: whether M is equal or can be different across different pair/group</w:t>
            </w:r>
          </w:p>
          <w:p>
            <w:pPr>
              <w:pStyle w:val="45"/>
              <w:numPr>
                <w:ilvl w:val="0"/>
                <w:numId w:val="6"/>
              </w:numPr>
              <w:snapToGrid w:val="0"/>
              <w:spacing w:beforeLines="0" w:after="0" w:line="240" w:lineRule="auto"/>
              <w:rPr>
                <w:rFonts w:cs="Times"/>
              </w:rPr>
            </w:pPr>
            <w:r>
              <w:rPr>
                <w:rFonts w:cs="Times"/>
              </w:rPr>
              <w:t>Option 2: In a CSI-report, UE can report N(N&gt;=1) pairs/groups and M (M&gt;1) beams per pair/group</w:t>
            </w:r>
          </w:p>
          <w:p>
            <w:pPr>
              <w:pStyle w:val="45"/>
              <w:numPr>
                <w:ilvl w:val="1"/>
                <w:numId w:val="6"/>
              </w:numPr>
              <w:snapToGrid w:val="0"/>
              <w:spacing w:beforeLines="0" w:after="0" w:line="240" w:lineRule="auto"/>
              <w:rPr>
                <w:rFonts w:cs="Times"/>
              </w:rPr>
            </w:pPr>
            <w:r>
              <w:rPr>
                <w:rFonts w:cs="Times"/>
              </w:rPr>
              <w:t>Different beams within a pair/group can be received simultaneously</w:t>
            </w:r>
          </w:p>
          <w:p>
            <w:pPr>
              <w:pStyle w:val="45"/>
              <w:numPr>
                <w:ilvl w:val="0"/>
                <w:numId w:val="6"/>
              </w:numPr>
              <w:snapToGrid w:val="0"/>
              <w:spacing w:beforeLines="0" w:after="0" w:line="240" w:lineRule="auto"/>
              <w:rPr>
                <w:rFonts w:cs="Times"/>
              </w:rPr>
            </w:pPr>
            <w:r>
              <w:rPr>
                <w:rFonts w:cs="Times"/>
              </w:rPr>
              <w:t>Option 3: UE report M(M&gt;=1) beams in N (N&gt;1) CSI-reports corresponding to N report setting</w:t>
            </w:r>
          </w:p>
          <w:p>
            <w:pPr>
              <w:pStyle w:val="45"/>
              <w:numPr>
                <w:ilvl w:val="1"/>
                <w:numId w:val="6"/>
              </w:numPr>
              <w:snapToGrid w:val="0"/>
              <w:spacing w:beforeLines="0" w:after="0" w:line="240" w:lineRule="auto"/>
              <w:rPr>
                <w:rFonts w:cs="Times"/>
              </w:rPr>
            </w:pPr>
            <w:r>
              <w:rPr>
                <w:rFonts w:cs="Times"/>
              </w:rPr>
              <w:t>Different beams in different CSI-reports can be received simultaneously</w:t>
            </w:r>
          </w:p>
          <w:p>
            <w:pPr>
              <w:pStyle w:val="45"/>
              <w:numPr>
                <w:ilvl w:val="1"/>
                <w:numId w:val="6"/>
              </w:numPr>
              <w:snapToGrid w:val="0"/>
              <w:spacing w:beforeLines="0" w:after="0" w:line="240" w:lineRule="auto"/>
              <w:rPr>
                <w:rFonts w:cs="Times"/>
              </w:rPr>
            </w:pPr>
            <w:r>
              <w:rPr>
                <w:rFonts w:cs="Times"/>
              </w:rPr>
              <w:t>FFS: whether/how to introduce an association between different CSI-reports</w:t>
            </w:r>
          </w:p>
          <w:p>
            <w:pPr>
              <w:pStyle w:val="45"/>
              <w:numPr>
                <w:ilvl w:val="1"/>
                <w:numId w:val="6"/>
              </w:numPr>
              <w:snapToGrid w:val="0"/>
              <w:spacing w:beforeLines="0" w:after="0" w:line="240" w:lineRule="auto"/>
              <w:rPr>
                <w:rFonts w:cs="Times"/>
              </w:rPr>
            </w:pPr>
            <w:r>
              <w:rPr>
                <w:rFonts w:cs="Times"/>
              </w:rPr>
              <w:t>FFS: whether/how to differentiate reported measurements for beams that are received simultaneously vs. beams that are not received simultaneously </w:t>
            </w:r>
          </w:p>
          <w:p>
            <w:pPr>
              <w:pStyle w:val="45"/>
              <w:numPr>
                <w:ilvl w:val="2"/>
                <w:numId w:val="6"/>
              </w:numPr>
              <w:snapToGrid w:val="0"/>
              <w:spacing w:beforeLines="0" w:after="0" w:line="240" w:lineRule="auto"/>
              <w:rPr>
                <w:rFonts w:cs="Times"/>
              </w:rPr>
            </w:pPr>
            <w:r>
              <w:rPr>
                <w:rFonts w:cs="Times"/>
              </w:rPr>
              <w:t>Whether/how to introduce an indication along with the CSI-reports to indicate whether the beams in different CSI-reports can be received simultaneously</w:t>
            </w:r>
          </w:p>
          <w:p>
            <w:pPr>
              <w:pStyle w:val="45"/>
              <w:numPr>
                <w:ilvl w:val="0"/>
                <w:numId w:val="6"/>
              </w:numPr>
              <w:snapToGrid w:val="0"/>
              <w:spacing w:beforeLines="0" w:after="0" w:line="240" w:lineRule="auto"/>
              <w:rPr>
                <w:rFonts w:cs="Times"/>
              </w:rPr>
            </w:pPr>
            <w:r>
              <w:rPr>
                <w:rFonts w:cs="Times"/>
              </w:rPr>
              <w:t>FFS: value of N and M in each option</w:t>
            </w:r>
          </w:p>
          <w:p>
            <w:pPr>
              <w:pStyle w:val="45"/>
              <w:numPr>
                <w:ilvl w:val="0"/>
                <w:numId w:val="6"/>
              </w:numPr>
              <w:snapToGrid w:val="0"/>
              <w:spacing w:beforeLines="0" w:after="0" w:line="240" w:lineRule="auto"/>
              <w:rPr>
                <w:rFonts w:cs="Times"/>
              </w:rPr>
            </w:pPr>
            <w:r>
              <w:rPr>
                <w:rFonts w:cs="Times"/>
              </w:rPr>
              <w:t>FFS: Association between different beams in above options and different TRP/UE panels</w:t>
            </w:r>
          </w:p>
          <w:p>
            <w:pPr>
              <w:pStyle w:val="45"/>
              <w:numPr>
                <w:ilvl w:val="0"/>
                <w:numId w:val="6"/>
              </w:numPr>
              <w:snapToGrid w:val="0"/>
              <w:spacing w:beforeLines="0" w:after="0" w:line="240" w:lineRule="auto"/>
              <w:rPr>
                <w:rFonts w:cs="Times"/>
              </w:rPr>
            </w:pPr>
            <w:r>
              <w:rPr>
                <w:rFonts w:cs="Times"/>
              </w:rPr>
              <w:t>FFS: Identify new use cases per option compared with R16 (including backhaul)</w:t>
            </w:r>
          </w:p>
          <w:p>
            <w:pPr>
              <w:pStyle w:val="45"/>
              <w:numPr>
                <w:ilvl w:val="0"/>
                <w:numId w:val="6"/>
              </w:numPr>
              <w:snapToGrid w:val="0"/>
              <w:spacing w:beforeLines="0" w:after="0" w:line="240" w:lineRule="auto"/>
              <w:rPr>
                <w:rFonts w:cs="Times"/>
              </w:rPr>
            </w:pPr>
            <w:r>
              <w:rPr>
                <w:rFonts w:cs="Times"/>
              </w:rPr>
              <w:t>FFS: whether different beams in different pairs/groups/reports can be received by same spatial filter per option</w:t>
            </w:r>
          </w:p>
        </w:tc>
      </w:tr>
    </w:tbl>
    <w:p>
      <w:pPr>
        <w:overflowPunct w:val="0"/>
        <w:autoSpaceDE w:val="0"/>
        <w:autoSpaceDN w:val="0"/>
        <w:adjustRightInd w:val="0"/>
        <w:spacing w:before="120"/>
        <w:textAlignment w:val="baseline"/>
      </w:pPr>
      <w:r>
        <w:rPr>
          <w:rFonts w:eastAsia="微软雅黑"/>
          <w:lang w:val="en-GB"/>
        </w:rPr>
        <w:t>Then, in RAN1#104-e, there was good progress that Option</w:t>
      </w:r>
      <w:r>
        <w:rPr>
          <w:rFonts w:hint="eastAsia" w:eastAsia="微软雅黑"/>
        </w:rPr>
        <w:t xml:space="preserve"> </w:t>
      </w:r>
      <w:r>
        <w:rPr>
          <w:rFonts w:eastAsia="微软雅黑"/>
          <w:lang w:val="en-GB"/>
        </w:rPr>
        <w:t xml:space="preserve">2 was agreed for L1-RSRP beam measurement of </w:t>
      </w:r>
      <w:r>
        <w:rPr>
          <w:rFonts w:hint="eastAsia" w:eastAsia="微软雅黑"/>
        </w:rPr>
        <w:t>m</w:t>
      </w:r>
      <w:r>
        <w:rPr>
          <w:rFonts w:eastAsia="微软雅黑"/>
          <w:lang w:val="en-GB"/>
        </w:rPr>
        <w:t>TRP simultaneous transmission. Meanwhile L1-SINR based reporting and Option 1/3 are still FFS and thus are discussed in the following sub-sections accordingly.</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21"/>
              <w:spacing w:before="12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snapToGrid w:val="0"/>
              <w:spacing w:before="0" w:beforeLines="0" w:after="0" w:line="240" w:lineRule="auto"/>
              <w:rPr>
                <w:szCs w:val="16"/>
              </w:rPr>
            </w:pPr>
            <w:r>
              <w:rPr>
                <w:szCs w:val="16"/>
              </w:rPr>
              <w:t xml:space="preserve">For beam measurement in support of M-TRP simultaneous transmission </w:t>
            </w:r>
          </w:p>
          <w:p>
            <w:pPr>
              <w:numPr>
                <w:ilvl w:val="0"/>
                <w:numId w:val="7"/>
              </w:numPr>
              <w:snapToGrid w:val="0"/>
              <w:spacing w:before="0" w:beforeLines="0" w:after="0" w:line="240" w:lineRule="auto"/>
              <w:ind w:left="714" w:hanging="357"/>
            </w:pPr>
            <w:r>
              <w:t xml:space="preserve">Support a single CSI-report consisting of N beams pairs/groups and M (M&gt;1) beams per pair/group, and different beams within a pair/group can be received simultaneously </w:t>
            </w:r>
          </w:p>
          <w:p>
            <w:pPr>
              <w:pStyle w:val="21"/>
              <w:numPr>
                <w:ilvl w:val="1"/>
                <w:numId w:val="7"/>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Support M = 2</w:t>
            </w:r>
          </w:p>
          <w:p>
            <w:pPr>
              <w:pStyle w:val="21"/>
              <w:numPr>
                <w:ilvl w:val="1"/>
                <w:numId w:val="7"/>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Support extending the maximum value of N &gt; 1, exact value FFS</w:t>
            </w:r>
          </w:p>
          <w:p>
            <w:pPr>
              <w:pStyle w:val="21"/>
              <w:numPr>
                <w:ilvl w:val="1"/>
                <w:numId w:val="7"/>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N=1 and N=2</w:t>
            </w:r>
          </w:p>
          <w:p>
            <w:pPr>
              <w:pStyle w:val="21"/>
              <w:numPr>
                <w:ilvl w:val="2"/>
                <w:numId w:val="7"/>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FFS: Other values larger than 2</w:t>
            </w:r>
          </w:p>
          <w:p>
            <w:pPr>
              <w:pStyle w:val="21"/>
              <w:numPr>
                <w:ilvl w:val="2"/>
                <w:numId w:val="7"/>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FFS: Whether the UE could report beams are received with different RX beams</w:t>
            </w:r>
          </w:p>
          <w:p>
            <w:pPr>
              <w:pStyle w:val="21"/>
              <w:numPr>
                <w:ilvl w:val="0"/>
                <w:numId w:val="7"/>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Further study the support of option 1 and option 3</w:t>
            </w:r>
          </w:p>
          <w:p>
            <w:pPr>
              <w:pStyle w:val="21"/>
              <w:numPr>
                <w:ilvl w:val="0"/>
                <w:numId w:val="7"/>
              </w:numPr>
              <w:spacing w:before="0" w:beforeLines="0" w:beforeAutospacing="0" w:after="0" w:afterAutospacing="0" w:line="240" w:lineRule="auto"/>
              <w:rPr>
                <w:rFonts w:ascii="Times New Roman" w:hAnsi="Times New Roman" w:cs="Times New Roman"/>
                <w:sz w:val="20"/>
                <w:szCs w:val="20"/>
              </w:rPr>
            </w:pPr>
            <w:r>
              <w:rPr>
                <w:rFonts w:ascii="Times New Roman" w:hAnsi="Times New Roman" w:cs="Times New Roman"/>
                <w:sz w:val="20"/>
                <w:szCs w:val="20"/>
              </w:rPr>
              <w:t>The above applies at least for L1-RSRP</w:t>
            </w:r>
          </w:p>
          <w:p>
            <w:pPr>
              <w:pStyle w:val="45"/>
              <w:numPr>
                <w:ilvl w:val="0"/>
                <w:numId w:val="6"/>
              </w:numPr>
              <w:snapToGrid w:val="0"/>
              <w:spacing w:before="0" w:beforeLines="0" w:after="120" w:line="240" w:lineRule="auto"/>
              <w:ind w:left="714" w:hanging="357"/>
              <w:rPr>
                <w:rFonts w:cs="Times"/>
              </w:rPr>
            </w:pPr>
            <w:r>
              <w:t xml:space="preserve">FFS: L1-SINR </w:t>
            </w:r>
          </w:p>
        </w:tc>
      </w:tr>
    </w:tbl>
    <w:p>
      <w:pPr>
        <w:numPr>
          <w:ilvl w:val="2"/>
          <w:numId w:val="1"/>
        </w:numPr>
        <w:tabs>
          <w:tab w:val="clear" w:pos="720"/>
        </w:tabs>
        <w:snapToGrid w:val="0"/>
        <w:spacing w:before="120" w:afterLines="50" w:line="240" w:lineRule="auto"/>
        <w:ind w:left="607" w:hanging="607"/>
        <w:outlineLvl w:val="2"/>
        <w:rPr>
          <w:b/>
          <w:bCs/>
          <w:sz w:val="24"/>
          <w:szCs w:val="24"/>
        </w:rPr>
      </w:pPr>
      <w:r>
        <w:rPr>
          <w:b/>
          <w:bCs/>
          <w:sz w:val="24"/>
          <w:szCs w:val="24"/>
        </w:rPr>
        <w:t xml:space="preserve">L1-SINR measurement and reporting </w:t>
      </w:r>
    </w:p>
    <w:p>
      <w:pPr>
        <w:overflowPunct w:val="0"/>
        <w:autoSpaceDE w:val="0"/>
        <w:autoSpaceDN w:val="0"/>
        <w:adjustRightInd w:val="0"/>
        <w:spacing w:before="120"/>
        <w:textAlignment w:val="baseline"/>
      </w:pPr>
      <w:r>
        <w:rPr>
          <w:rFonts w:eastAsia="微软雅黑"/>
          <w:lang w:val="en-GB"/>
        </w:rPr>
        <w:t xml:space="preserve">Regarding the agreed </w:t>
      </w:r>
      <w:r>
        <w:rPr>
          <w:rFonts w:hint="eastAsia" w:eastAsia="微软雅黑"/>
        </w:rPr>
        <w:t>Option 2 (beam group based reporting)</w:t>
      </w:r>
      <w:r>
        <w:rPr>
          <w:rFonts w:eastAsia="微软雅黑"/>
        </w:rPr>
        <w:t xml:space="preserve">, </w:t>
      </w:r>
      <w:r>
        <w:rPr>
          <w:rFonts w:hint="eastAsia"/>
        </w:rPr>
        <w:t xml:space="preserve">multiple </w:t>
      </w:r>
      <w:r>
        <w:t xml:space="preserve">Tx </w:t>
      </w:r>
      <w:r>
        <w:rPr>
          <w:rFonts w:hint="eastAsia"/>
        </w:rPr>
        <w:t>beams</w:t>
      </w:r>
      <w:r>
        <w:t xml:space="preserve"> in a group can be received simultaneously, and consequently the consideration on </w:t>
      </w:r>
      <w:r>
        <w:rPr>
          <w:rFonts w:hint="eastAsia"/>
        </w:rPr>
        <w:t xml:space="preserve">inter-beam interference </w:t>
      </w:r>
      <w:r>
        <w:t>should be taken on for well ensuring transmission performance</w:t>
      </w:r>
      <w:r>
        <w:rPr>
          <w:rFonts w:hint="eastAsia"/>
        </w:rPr>
        <w:t xml:space="preserve">. </w:t>
      </w:r>
      <w:r>
        <w:t>Specifically</w:t>
      </w:r>
      <w:r>
        <w:rPr>
          <w:rFonts w:hint="eastAsia"/>
        </w:rPr>
        <w:t>, it is necessary to measure and report mutual interference from the UE, so that beam</w:t>
      </w:r>
      <w:r>
        <w:t xml:space="preserve"> pair(</w:t>
      </w:r>
      <w:r>
        <w:rPr>
          <w:rFonts w:hint="eastAsia"/>
        </w:rPr>
        <w:t>s</w:t>
      </w:r>
      <w:r>
        <w:t>)</w:t>
      </w:r>
      <w:r>
        <w:rPr>
          <w:rFonts w:hint="eastAsia"/>
        </w:rPr>
        <w:t xml:space="preserve"> with </w:t>
      </w:r>
      <w:r>
        <w:t>low inter-beam interference</w:t>
      </w:r>
      <w:r>
        <w:rPr>
          <w:rFonts w:hint="eastAsia"/>
        </w:rPr>
        <w:t xml:space="preserve"> can be used for transmission. However, the L1-RSRP based beam reporting fails to take this interference into account. </w:t>
      </w:r>
      <w:r>
        <w:t>Since</w:t>
      </w:r>
      <w:r>
        <w:rPr>
          <w:rFonts w:hint="eastAsia"/>
        </w:rPr>
        <w:t xml:space="preserve"> the L1-SINR based beam reporting has been introduced in Rel-16, </w:t>
      </w:r>
      <w:r>
        <w:t xml:space="preserve">it is straightforward that L1-SINR reporting should be supported </w:t>
      </w:r>
      <w:r>
        <w:rPr>
          <w:rFonts w:hint="eastAsia"/>
        </w:rPr>
        <w:t xml:space="preserve">in Rel-17 </w:t>
      </w:r>
      <w:r>
        <w:t>as well</w:t>
      </w:r>
      <w:r>
        <w:rPr>
          <w:rFonts w:hint="eastAsia"/>
        </w:rPr>
        <w:t xml:space="preserve">. </w:t>
      </w:r>
    </w:p>
    <w:p>
      <w:pPr>
        <w:pStyle w:val="113"/>
        <w:numPr>
          <w:ilvl w:val="0"/>
          <w:numId w:val="8"/>
        </w:numPr>
        <w:overflowPunct w:val="0"/>
        <w:autoSpaceDE w:val="0"/>
        <w:autoSpaceDN w:val="0"/>
        <w:adjustRightInd w:val="0"/>
        <w:spacing w:before="120"/>
        <w:ind w:firstLineChars="0"/>
        <w:textAlignment w:val="baseline"/>
      </w:pPr>
      <w:r>
        <w:t>For instance, w</w:t>
      </w:r>
      <w:r>
        <w:rPr>
          <w:rFonts w:hint="eastAsia"/>
        </w:rPr>
        <w:t>hen one resource setting is configured, which two CMR</w:t>
      </w:r>
      <w:r>
        <w:t>(s)</w:t>
      </w:r>
      <w:r>
        <w:rPr>
          <w:rFonts w:hint="eastAsia"/>
        </w:rPr>
        <w:t xml:space="preserve"> from different TRPs should be received and calculated by UE simultaneously to obtain the inter-beam interference needs to be enhanced. When two resource settings are configured, </w:t>
      </w:r>
      <w:r>
        <w:t xml:space="preserve">interference and noise from </w:t>
      </w:r>
      <w:r>
        <w:rPr>
          <w:rFonts w:hint="eastAsia"/>
        </w:rPr>
        <w:t>IMR</w:t>
      </w:r>
      <w:r>
        <w:t xml:space="preserve"> measurement should be further considered accordingly</w:t>
      </w:r>
      <w:r>
        <w:rPr>
          <w:rFonts w:hint="eastAsia"/>
        </w:rPr>
        <w:t>.</w:t>
      </w:r>
    </w:p>
    <w:p>
      <w:pPr>
        <w:overflowPunct w:val="0"/>
        <w:autoSpaceDE w:val="0"/>
        <w:autoSpaceDN w:val="0"/>
        <w:adjustRightInd w:val="0"/>
        <w:spacing w:before="120"/>
        <w:textAlignment w:val="baseline"/>
        <w:rPr>
          <w:i/>
          <w:iCs/>
        </w:rPr>
      </w:pPr>
      <w:r>
        <w:rPr>
          <w:b/>
          <w:i/>
        </w:rPr>
        <w:t>Proposal 1:</w:t>
      </w:r>
      <w:r>
        <w:rPr>
          <w:i/>
        </w:rPr>
        <w:t xml:space="preserve"> </w:t>
      </w:r>
      <w:r>
        <w:rPr>
          <w:rFonts w:hint="eastAsia"/>
          <w:i/>
          <w:iCs/>
        </w:rPr>
        <w:t>For facilitating inter-beam interference measurement, L1-SINR reporting should be supported.</w:t>
      </w:r>
    </w:p>
    <w:p>
      <w:pPr>
        <w:numPr>
          <w:ilvl w:val="0"/>
          <w:numId w:val="9"/>
        </w:numPr>
        <w:spacing w:before="120" w:after="0"/>
        <w:rPr>
          <w:i/>
          <w:iCs/>
        </w:rPr>
      </w:pPr>
      <w:r>
        <w:rPr>
          <w:rFonts w:hint="eastAsia"/>
          <w:i/>
          <w:iCs/>
        </w:rPr>
        <w:t xml:space="preserve"> The definition of L1-SINR should be enhanced, considering interference among CMR(s) to be reported.</w:t>
      </w:r>
    </w:p>
    <w:p>
      <w:pPr>
        <w:numPr>
          <w:ilvl w:val="0"/>
          <w:numId w:val="9"/>
        </w:numPr>
        <w:spacing w:before="120" w:after="0"/>
        <w:rPr>
          <w:i/>
          <w:iCs/>
        </w:rPr>
      </w:pPr>
      <w:r>
        <w:rPr>
          <w:rFonts w:hint="eastAsia"/>
          <w:i/>
          <w:iCs/>
        </w:rPr>
        <w:t>The association among CMRs from different TRPs (or called as candidate CMR pairs) should be supported.</w:t>
      </w:r>
    </w:p>
    <w:p>
      <w:pPr>
        <w:numPr>
          <w:ilvl w:val="1"/>
          <w:numId w:val="10"/>
        </w:numPr>
        <w:spacing w:before="60" w:beforeLines="25" w:afterLines="50"/>
        <w:ind w:left="851"/>
        <w:rPr>
          <w:i/>
        </w:rPr>
      </w:pPr>
      <w:r>
        <w:rPr>
          <w:rFonts w:hint="eastAsia"/>
          <w:i/>
        </w:rPr>
        <w:t>Analogous to Rel-16, CMR+ZP-IMR and CMR+NZP-IMR can be supported besides CMR only.</w:t>
      </w:r>
    </w:p>
    <w:p>
      <w:pPr>
        <w:numPr>
          <w:ilvl w:val="2"/>
          <w:numId w:val="1"/>
        </w:numPr>
        <w:tabs>
          <w:tab w:val="clear" w:pos="720"/>
        </w:tabs>
        <w:snapToGrid w:val="0"/>
        <w:spacing w:before="120" w:afterLines="50" w:line="240" w:lineRule="auto"/>
        <w:ind w:left="607" w:hanging="607"/>
        <w:outlineLvl w:val="2"/>
        <w:rPr>
          <w:b/>
          <w:bCs/>
          <w:sz w:val="24"/>
          <w:szCs w:val="24"/>
        </w:rPr>
      </w:pPr>
      <w:r>
        <w:rPr>
          <w:b/>
          <w:bCs/>
          <w:sz w:val="24"/>
          <w:szCs w:val="24"/>
        </w:rPr>
        <w:t xml:space="preserve">Panel-specific reporting (Option 1) </w:t>
      </w:r>
    </w:p>
    <w:p>
      <w:pPr>
        <w:overflowPunct w:val="0"/>
        <w:autoSpaceDE w:val="0"/>
        <w:autoSpaceDN w:val="0"/>
        <w:adjustRightInd w:val="0"/>
        <w:spacing w:before="120"/>
        <w:textAlignment w:val="baseline"/>
        <w:rPr>
          <w:rFonts w:eastAsia="微软雅黑"/>
        </w:rPr>
      </w:pPr>
      <w:r>
        <w:rPr>
          <w:rFonts w:hint="eastAsia" w:eastAsia="微软雅黑"/>
        </w:rPr>
        <w:t>The UE can well consider the inter-beam/panel interference through using Option</w:t>
      </w:r>
      <w:r>
        <w:rPr>
          <w:rFonts w:eastAsia="微软雅黑"/>
        </w:rPr>
        <w:t xml:space="preserve"> </w:t>
      </w:r>
      <w:r>
        <w:rPr>
          <w:rFonts w:hint="eastAsia" w:eastAsia="微软雅黑"/>
        </w:rPr>
        <w:t>2 (beam group based reporting)</w:t>
      </w:r>
      <w:r>
        <w:rPr>
          <w:rFonts w:eastAsia="微软雅黑"/>
        </w:rPr>
        <w:t xml:space="preserve"> as for L1-SINR/sDCI-mTRP case</w:t>
      </w:r>
      <w:r>
        <w:rPr>
          <w:rFonts w:hint="eastAsia" w:eastAsia="微软雅黑"/>
        </w:rPr>
        <w:t xml:space="preserve"> and can provide a better spatial multiplexing (high-RANK DL transmission). However, it indeed has some imp</w:t>
      </w:r>
      <w:r>
        <w:rPr>
          <w:rFonts w:eastAsia="微软雅黑"/>
        </w:rPr>
        <w:t xml:space="preserve">lementation issues </w:t>
      </w:r>
      <w:r>
        <w:rPr>
          <w:rFonts w:hint="eastAsia" w:eastAsia="微软雅黑"/>
        </w:rPr>
        <w:t>if only option 2 (beam group based reporting) is supported.</w:t>
      </w:r>
    </w:p>
    <w:p>
      <w:pPr>
        <w:pStyle w:val="113"/>
        <w:numPr>
          <w:ilvl w:val="0"/>
          <w:numId w:val="11"/>
        </w:numPr>
        <w:snapToGrid w:val="0"/>
        <w:spacing w:before="120"/>
        <w:ind w:firstLineChars="0"/>
        <w:rPr>
          <w:rFonts w:eastAsia="微软雅黑"/>
          <w:lang w:val="en-GB" w:eastAsia="ko-KR"/>
        </w:rPr>
      </w:pPr>
      <w:r>
        <w:rPr>
          <w:rFonts w:eastAsia="微软雅黑"/>
          <w:lang w:val="en-GB" w:eastAsia="ko-KR"/>
        </w:rPr>
        <w:t xml:space="preserve">In order to measure inter-beam interference, we need to have some prior information, e.g., which candidate Tx beam combinations can be received by UE side (in other words, the two Tx beams can be received by a respective UE beam of each panel). </w:t>
      </w:r>
      <w:r>
        <w:rPr>
          <w:rFonts w:hint="eastAsia" w:eastAsia="微软雅黑"/>
        </w:rPr>
        <w:t xml:space="preserve">Thus, </w:t>
      </w:r>
      <w:r>
        <w:rPr>
          <w:rFonts w:eastAsia="微软雅黑"/>
          <w:lang w:val="en-GB" w:eastAsia="ko-KR"/>
        </w:rPr>
        <w:t xml:space="preserve">the candidate pair should be pre-configured by gNB. But, the key question is how the gNB can be aware of candidate pairs. </w:t>
      </w:r>
      <w:r>
        <w:rPr>
          <w:rFonts w:hint="eastAsia" w:eastAsia="微软雅黑"/>
        </w:rPr>
        <w:t>If a</w:t>
      </w:r>
      <w:r>
        <w:rPr>
          <w:rFonts w:eastAsia="微软雅黑"/>
          <w:lang w:val="en-GB" w:eastAsia="ko-KR"/>
        </w:rPr>
        <w:t>ny combination among candidate Tx beams</w:t>
      </w:r>
      <w:r>
        <w:rPr>
          <w:rFonts w:hint="eastAsia" w:eastAsia="微软雅黑"/>
        </w:rPr>
        <w:t xml:space="preserve"> </w:t>
      </w:r>
      <w:r>
        <w:rPr>
          <w:rFonts w:eastAsia="微软雅黑"/>
        </w:rPr>
        <w:t>is configured</w:t>
      </w:r>
      <w:r>
        <w:rPr>
          <w:rFonts w:hint="eastAsia" w:eastAsia="微软雅黑"/>
        </w:rPr>
        <w:t>, the first problem is that many combinations cannot be received by UE at the same time. The other problem is that too many combinations will greatly increase UE calculation. So i</w:t>
      </w:r>
      <w:r>
        <w:rPr>
          <w:rFonts w:eastAsia="微软雅黑"/>
          <w:lang w:val="en-GB" w:eastAsia="ko-KR"/>
        </w:rPr>
        <w:t xml:space="preserve">t is clear that not all combinations can be workable from both gNB and UE implementation. </w:t>
      </w:r>
    </w:p>
    <w:p>
      <w:pPr>
        <w:pStyle w:val="113"/>
        <w:numPr>
          <w:ilvl w:val="0"/>
          <w:numId w:val="11"/>
        </w:numPr>
        <w:snapToGrid w:val="0"/>
        <w:spacing w:before="120"/>
        <w:ind w:firstLineChars="0"/>
        <w:rPr>
          <w:rFonts w:eastAsia="微软雅黑"/>
          <w:lang w:val="en-GB" w:eastAsia="ko-KR"/>
        </w:rPr>
      </w:pPr>
      <w:r>
        <w:rPr>
          <w:rFonts w:eastAsia="微软雅黑"/>
          <w:lang w:val="en-GB" w:eastAsia="ko-KR"/>
        </w:rPr>
        <w:t>The desirable design is to have Option</w:t>
      </w:r>
      <w:r>
        <w:rPr>
          <w:rFonts w:hint="eastAsia" w:eastAsia="微软雅黑"/>
        </w:rPr>
        <w:t xml:space="preserve"> </w:t>
      </w:r>
      <w:r>
        <w:rPr>
          <w:rFonts w:eastAsia="微软雅黑"/>
          <w:lang w:val="en-GB" w:eastAsia="ko-KR"/>
        </w:rPr>
        <w:t>1 (panel</w:t>
      </w:r>
      <w:r>
        <w:rPr>
          <w:rFonts w:hint="eastAsia" w:eastAsia="微软雅黑"/>
        </w:rPr>
        <w:t>-</w:t>
      </w:r>
      <w:r>
        <w:rPr>
          <w:rFonts w:eastAsia="微软雅黑"/>
          <w:lang w:val="en-GB" w:eastAsia="ko-KR"/>
        </w:rPr>
        <w:t>specific reporting)</w:t>
      </w:r>
      <w:r>
        <w:rPr>
          <w:rFonts w:hint="eastAsia" w:eastAsia="微软雅黑"/>
        </w:rPr>
        <w:t xml:space="preserve"> </w:t>
      </w:r>
      <w:r>
        <w:rPr>
          <w:rFonts w:eastAsia="微软雅黑"/>
          <w:lang w:val="en-GB" w:eastAsia="ko-KR"/>
        </w:rPr>
        <w:t xml:space="preserve">firstly, the output of which can be considered as the input for determining the candidate pairs. </w:t>
      </w:r>
    </w:p>
    <w:p>
      <w:pPr>
        <w:overflowPunct w:val="0"/>
        <w:autoSpaceDE w:val="0"/>
        <w:autoSpaceDN w:val="0"/>
        <w:adjustRightInd w:val="0"/>
        <w:spacing w:before="120"/>
        <w:textAlignment w:val="baseline"/>
        <w:rPr>
          <w:rFonts w:eastAsia="微软雅黑"/>
          <w:lang w:val="en-GB" w:eastAsia="ko-KR"/>
        </w:rPr>
      </w:pPr>
      <w:r>
        <w:rPr>
          <w:rFonts w:eastAsia="微软雅黑"/>
          <w:lang w:val="en-GB" w:eastAsia="ko-KR"/>
        </w:rPr>
        <w:t>One example can be found in the Figure</w:t>
      </w:r>
      <w:r>
        <w:rPr>
          <w:rFonts w:hint="eastAsia" w:eastAsia="微软雅黑"/>
        </w:rPr>
        <w:t xml:space="preserve"> 1</w:t>
      </w:r>
      <w:r>
        <w:rPr>
          <w:rFonts w:eastAsia="微软雅黑"/>
          <w:lang w:val="en-GB" w:eastAsia="ko-KR"/>
        </w:rPr>
        <w:t>.</w:t>
      </w:r>
      <w:r>
        <w:rPr>
          <w:rFonts w:hint="eastAsia" w:eastAsia="微软雅黑"/>
        </w:rPr>
        <w:t xml:space="preserve"> </w:t>
      </w:r>
      <w:r>
        <w:rPr>
          <w:rFonts w:eastAsia="微软雅黑"/>
          <w:lang w:val="en-GB" w:eastAsia="ko-KR"/>
        </w:rPr>
        <w:t>In other words, if enabling this function of Option</w:t>
      </w:r>
      <w:r>
        <w:rPr>
          <w:rFonts w:hint="eastAsia" w:eastAsia="微软雅黑"/>
        </w:rPr>
        <w:t xml:space="preserve"> </w:t>
      </w:r>
      <w:r>
        <w:rPr>
          <w:rFonts w:eastAsia="微软雅黑"/>
          <w:lang w:val="en-GB" w:eastAsia="ko-KR"/>
        </w:rPr>
        <w:t>2, Option</w:t>
      </w:r>
      <w:r>
        <w:rPr>
          <w:rFonts w:hint="eastAsia" w:eastAsia="微软雅黑"/>
        </w:rPr>
        <w:t xml:space="preserve"> </w:t>
      </w:r>
      <w:r>
        <w:rPr>
          <w:rFonts w:eastAsia="微软雅黑"/>
          <w:lang w:val="en-GB" w:eastAsia="ko-KR"/>
        </w:rPr>
        <w:t xml:space="preserve">1 </w:t>
      </w:r>
      <w:r>
        <w:rPr>
          <w:rFonts w:hint="eastAsia" w:eastAsia="微软雅黑"/>
        </w:rPr>
        <w:t xml:space="preserve">is also needed </w:t>
      </w:r>
      <w:r>
        <w:rPr>
          <w:rFonts w:eastAsia="微软雅黑"/>
          <w:lang w:val="en-GB" w:eastAsia="ko-KR"/>
        </w:rPr>
        <w:t>for guaranteeing the information that the candidate combination can be received by a UE.</w:t>
      </w:r>
    </w:p>
    <w:p>
      <w:pPr>
        <w:snapToGrid w:val="0"/>
        <w:spacing w:before="120"/>
        <w:jc w:val="center"/>
      </w:pPr>
      <w:r>
        <w:object>
          <v:shape id="_x0000_i1025" o:spt="75" type="#_x0000_t75" style="height:99.8pt;width:350.75pt;" o:ole="t" filled="f" o:preferrelative="t" stroked="f" coordsize="21600,21600">
            <v:path/>
            <v:fill on="f" focussize="0,0"/>
            <v:stroke on="f" joinstyle="miter"/>
            <v:imagedata r:id="rId11" o:title=""/>
            <o:lock v:ext="edit" aspectratio="t"/>
            <w10:wrap type="none"/>
            <w10:anchorlock/>
          </v:shape>
          <o:OLEObject Type="Embed" ProgID="Visio.Drawing.11" ShapeID="_x0000_i1025" DrawAspect="Content" ObjectID="_1468075725" r:id="rId10">
            <o:LockedField>false</o:LockedField>
          </o:OLEObject>
        </w:object>
      </w:r>
    </w:p>
    <w:p>
      <w:pPr>
        <w:spacing w:before="120"/>
        <w:jc w:val="center"/>
      </w:pPr>
      <w:r>
        <w:rPr>
          <w:b/>
        </w:rPr>
        <w:t xml:space="preserve">Figure 1 </w:t>
      </w:r>
      <w:r>
        <w:t>Example for beam measurement and report procedures with both Option 1 (panel-specific</w:t>
      </w:r>
      <w:r>
        <w:rPr>
          <w:rFonts w:hint="eastAsia"/>
        </w:rPr>
        <w:t xml:space="preserve"> reporting</w:t>
      </w:r>
      <w:r>
        <w:t>) and Option 2 (beam group based</w:t>
      </w:r>
      <w:r>
        <w:rPr>
          <w:rFonts w:hint="eastAsia"/>
        </w:rPr>
        <w:t xml:space="preserve"> reporting</w:t>
      </w:r>
      <w:r>
        <w:t>)</w:t>
      </w:r>
    </w:p>
    <w:p>
      <w:pPr>
        <w:overflowPunct w:val="0"/>
        <w:autoSpaceDE w:val="0"/>
        <w:autoSpaceDN w:val="0"/>
        <w:adjustRightInd w:val="0"/>
        <w:spacing w:before="120"/>
        <w:textAlignment w:val="baseline"/>
        <w:rPr>
          <w:rFonts w:eastAsia="微软雅黑"/>
        </w:rPr>
      </w:pPr>
      <w:r>
        <w:rPr>
          <w:rFonts w:hint="eastAsia" w:eastAsia="微软雅黑"/>
        </w:rPr>
        <w:t xml:space="preserve">In addition, Option 1 is beneficial for DL panel-specific beam management and is also relevant to fast UL panel switching. For instance, for mDCI case in mTRP, the different groups can be associated with two different TPRs, and consequently the subsequent beam refinement and CSI measurement for two TRPs can be performed independently. </w:t>
      </w:r>
    </w:p>
    <w:p>
      <w:pPr>
        <w:snapToGrid w:val="0"/>
        <w:spacing w:before="120"/>
        <w:rPr>
          <w:rFonts w:eastAsia="微软雅黑"/>
        </w:rPr>
      </w:pPr>
      <w:r>
        <w:rPr>
          <w:rFonts w:eastAsia="微软雅黑"/>
          <w:lang w:val="en-GB"/>
        </w:rPr>
        <w:t>Therefore, we have the following proposal for the enhancement for beam reporting in mTRP.</w:t>
      </w:r>
    </w:p>
    <w:p>
      <w:pPr>
        <w:overflowPunct w:val="0"/>
        <w:autoSpaceDE w:val="0"/>
        <w:autoSpaceDN w:val="0"/>
        <w:adjustRightInd w:val="0"/>
        <w:spacing w:before="120"/>
        <w:textAlignment w:val="baseline"/>
        <w:rPr>
          <w:i/>
        </w:rPr>
      </w:pPr>
      <w:r>
        <w:rPr>
          <w:b/>
          <w:i/>
        </w:rPr>
        <w:t>Proposal</w:t>
      </w:r>
      <w:r>
        <w:rPr>
          <w:rFonts w:hint="eastAsia"/>
          <w:b/>
          <w:i/>
        </w:rPr>
        <w:t xml:space="preserve"> </w:t>
      </w:r>
      <w:r>
        <w:rPr>
          <w:b/>
          <w:i/>
        </w:rPr>
        <w:t>2</w:t>
      </w:r>
      <w:r>
        <w:rPr>
          <w:rFonts w:hint="eastAsia"/>
          <w:b/>
          <w:i/>
        </w:rPr>
        <w:t>:</w:t>
      </w:r>
      <w:r>
        <w:rPr>
          <w:rFonts w:hint="eastAsia" w:eastAsia="微软雅黑"/>
          <w:lang w:val="en-GB"/>
        </w:rPr>
        <w:t xml:space="preserve"> </w:t>
      </w:r>
      <w:r>
        <w:rPr>
          <w:rFonts w:hint="eastAsia" w:eastAsia="微软雅黑"/>
          <w:i/>
        </w:rPr>
        <w:t>S</w:t>
      </w:r>
      <w:r>
        <w:rPr>
          <w:rFonts w:eastAsia="微软雅黑"/>
          <w:i/>
        </w:rPr>
        <w:t>upport Option 1 (</w:t>
      </w:r>
      <w:r>
        <w:rPr>
          <w:rFonts w:hint="eastAsia" w:eastAsia="微软雅黑"/>
          <w:i/>
        </w:rPr>
        <w:t>pan</w:t>
      </w:r>
      <w:r>
        <w:rPr>
          <w:rFonts w:eastAsia="微软雅黑"/>
          <w:i/>
        </w:rPr>
        <w:t>el</w:t>
      </w:r>
      <w:r>
        <w:rPr>
          <w:rFonts w:hint="eastAsia" w:eastAsia="微软雅黑"/>
          <w:i/>
        </w:rPr>
        <w:t>-</w:t>
      </w:r>
      <w:r>
        <w:rPr>
          <w:rFonts w:eastAsia="微软雅黑"/>
          <w:i/>
        </w:rPr>
        <w:t xml:space="preserve">specific reporting) </w:t>
      </w:r>
      <w:r>
        <w:rPr>
          <w:i/>
        </w:rPr>
        <w:t>for facilitating panel-specific DL and UL beam management via RSRP reporting;</w:t>
      </w:r>
    </w:p>
    <w:p>
      <w:pPr>
        <w:numPr>
          <w:ilvl w:val="0"/>
          <w:numId w:val="9"/>
        </w:numPr>
        <w:spacing w:before="120" w:after="0"/>
        <w:rPr>
          <w:i/>
          <w:iCs/>
        </w:rPr>
      </w:pPr>
      <w:r>
        <w:rPr>
          <w:rFonts w:hint="eastAsia"/>
          <w:i/>
          <w:iCs/>
        </w:rPr>
        <w:t>More than one group can be reported in a reporting instance, and, for each group, a group ID/panel ID is reported along with CRI(s)/SSBRI(s).</w:t>
      </w:r>
    </w:p>
    <w:p>
      <w:pPr>
        <w:numPr>
          <w:ilvl w:val="0"/>
          <w:numId w:val="9"/>
        </w:numPr>
        <w:spacing w:before="120" w:after="0"/>
        <w:rPr>
          <w:i/>
          <w:iCs/>
        </w:rPr>
      </w:pPr>
      <w:r>
        <w:rPr>
          <w:rFonts w:hint="eastAsia"/>
          <w:i/>
          <w:iCs/>
        </w:rPr>
        <w:t>Applied for RSRP reporting and mDCI-mTRP cases</w:t>
      </w:r>
    </w:p>
    <w:p>
      <w:pPr>
        <w:overflowPunct w:val="0"/>
        <w:autoSpaceDE w:val="0"/>
        <w:autoSpaceDN w:val="0"/>
        <w:adjustRightInd w:val="0"/>
        <w:spacing w:before="120"/>
        <w:textAlignment w:val="baseline"/>
        <w:rPr>
          <w:rFonts w:eastAsia="微软雅黑"/>
          <w:lang w:val="en-GB"/>
        </w:rPr>
      </w:pPr>
      <w:r>
        <w:rPr>
          <w:rFonts w:hint="eastAsia" w:eastAsia="微软雅黑"/>
        </w:rPr>
        <w:t xml:space="preserve">To achieve </w:t>
      </w:r>
      <w:r>
        <w:rPr>
          <w:rFonts w:eastAsia="微软雅黑"/>
          <w:lang w:val="en-GB"/>
        </w:rPr>
        <w:t>multiplexing gain and diversity gain</w:t>
      </w:r>
      <w:r>
        <w:rPr>
          <w:rFonts w:hint="eastAsia" w:eastAsia="微软雅黑"/>
        </w:rPr>
        <w:t>, i</w:t>
      </w:r>
      <w:r>
        <w:rPr>
          <w:rFonts w:eastAsia="微软雅黑"/>
          <w:lang w:val="en-GB"/>
        </w:rPr>
        <w:t>n RAN1#10</w:t>
      </w:r>
      <w:r>
        <w:rPr>
          <w:rFonts w:hint="eastAsia" w:eastAsia="微软雅黑"/>
        </w:rPr>
        <w:t>5</w:t>
      </w:r>
      <w:r>
        <w:rPr>
          <w:rFonts w:eastAsia="微软雅黑"/>
          <w:lang w:val="en-GB"/>
        </w:rPr>
        <w:t xml:space="preserve">e, the following agreement on </w:t>
      </w:r>
      <w:r>
        <w:rPr>
          <w:rFonts w:hint="eastAsia" w:eastAsia="微软雅黑"/>
        </w:rPr>
        <w:t>extension of N groups</w:t>
      </w:r>
      <w:r>
        <w:rPr>
          <w:rFonts w:eastAsia="微软雅黑"/>
          <w:lang w:val="en-GB"/>
        </w:rPr>
        <w:t xml:space="preserve"> </w:t>
      </w:r>
      <w:r>
        <w:rPr>
          <w:rFonts w:hint="eastAsia" w:eastAsia="微软雅黑"/>
        </w:rPr>
        <w:t xml:space="preserve">for option 2 </w:t>
      </w:r>
      <w:r>
        <w:rPr>
          <w:rFonts w:eastAsia="微软雅黑"/>
          <w:lang w:val="en-GB"/>
        </w:rPr>
        <w:t xml:space="preserve">was agreed.  </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numPr>
                <w:ilvl w:val="255"/>
                <w:numId w:val="0"/>
              </w:numPr>
              <w:spacing w:before="0" w:beforeLines="0" w:line="240" w:lineRule="auto"/>
              <w:rPr>
                <w:b/>
                <w:u w:val="single"/>
              </w:rPr>
            </w:pPr>
            <w:r>
              <w:rPr>
                <w:rFonts w:hint="eastAsia"/>
                <w:b/>
                <w:u w:val="single"/>
              </w:rPr>
              <w:t>A</w:t>
            </w:r>
            <w:r>
              <w:rPr>
                <w:b/>
                <w:u w:val="single"/>
              </w:rPr>
              <w:t>greement</w:t>
            </w:r>
          </w:p>
          <w:p>
            <w:pPr>
              <w:spacing w:before="0" w:beforeLines="0" w:after="0" w:line="240" w:lineRule="auto"/>
            </w:pPr>
            <w:r>
              <w:t>For beam reporting option 2</w:t>
            </w:r>
          </w:p>
          <w:p>
            <w:pPr>
              <w:pStyle w:val="113"/>
              <w:numPr>
                <w:ilvl w:val="0"/>
                <w:numId w:val="12"/>
              </w:numPr>
              <w:snapToGrid w:val="0"/>
              <w:spacing w:before="120"/>
              <w:ind w:firstLineChars="0"/>
              <w:contextualSpacing/>
              <w:rPr>
                <w:rFonts w:cs="Times"/>
              </w:rPr>
            </w:pPr>
            <w:r>
              <w:rPr>
                <w:rFonts w:cs="Times"/>
              </w:rPr>
              <w:t>For beam measurement/reporting option 2, the maximum number of beam groups in a single CSI-report is a UE capability and may take value from N</w:t>
            </w:r>
            <w:r>
              <w:rPr>
                <w:rFonts w:cs="Times"/>
                <w:vertAlign w:val="subscript"/>
              </w:rPr>
              <w:t>max</w:t>
            </w:r>
            <w:r>
              <w:rPr>
                <w:rFonts w:cs="Times"/>
              </w:rPr>
              <w:t xml:space="preserve"> = {1,2,3,4} in Rel.17.</w:t>
            </w:r>
          </w:p>
          <w:p>
            <w:pPr>
              <w:pStyle w:val="113"/>
              <w:numPr>
                <w:ilvl w:val="1"/>
                <w:numId w:val="12"/>
              </w:numPr>
              <w:snapToGrid w:val="0"/>
              <w:spacing w:before="120"/>
              <w:ind w:firstLineChars="0"/>
              <w:contextualSpacing/>
              <w:rPr>
                <w:rFonts w:cs="Times"/>
              </w:rPr>
            </w:pPr>
            <w:r>
              <w:rPr>
                <w:rFonts w:cs="Times"/>
              </w:rPr>
              <w:t>FFS: If UCI payload reduction for N</w:t>
            </w:r>
            <w:r>
              <w:rPr>
                <w:rFonts w:cs="Times"/>
                <w:vertAlign w:val="subscript"/>
              </w:rPr>
              <w:t>max</w:t>
            </w:r>
            <w:r>
              <w:rPr>
                <w:rFonts w:cs="Times"/>
              </w:rPr>
              <w:t>&gt;=2 is needed and if so, how</w:t>
            </w:r>
          </w:p>
          <w:p>
            <w:pPr>
              <w:pStyle w:val="113"/>
              <w:numPr>
                <w:ilvl w:val="0"/>
                <w:numId w:val="12"/>
              </w:numPr>
              <w:snapToGrid w:val="0"/>
              <w:spacing w:before="120"/>
              <w:ind w:firstLineChars="0"/>
              <w:contextualSpacing/>
              <w:rPr>
                <w:rFonts w:cs="Times"/>
              </w:rPr>
            </w:pPr>
            <w:r>
              <w:rPr>
                <w:rFonts w:cs="Times"/>
              </w:rPr>
              <w:t>The number of beam groups (N) reported in a single CSI-report</w:t>
            </w:r>
          </w:p>
          <w:p>
            <w:pPr>
              <w:pStyle w:val="113"/>
              <w:numPr>
                <w:ilvl w:val="1"/>
                <w:numId w:val="12"/>
              </w:numPr>
              <w:snapToGrid w:val="0"/>
              <w:spacing w:before="120" w:after="0"/>
              <w:ind w:left="1355" w:hanging="357" w:firstLineChars="0"/>
            </w:pPr>
            <w:r>
              <w:rPr>
                <w:rFonts w:cs="Times"/>
              </w:rPr>
              <w:t>Alt1: The value of N is configured by RRC signalling</w:t>
            </w:r>
          </w:p>
          <w:p>
            <w:pPr>
              <w:numPr>
                <w:ilvl w:val="255"/>
                <w:numId w:val="0"/>
              </w:numPr>
              <w:spacing w:before="0" w:beforeLines="0" w:line="240" w:lineRule="auto"/>
              <w:rPr>
                <w:sz w:val="2"/>
                <w:szCs w:val="2"/>
              </w:rPr>
            </w:pPr>
          </w:p>
        </w:tc>
      </w:tr>
    </w:tbl>
    <w:p>
      <w:pPr>
        <w:overflowPunct w:val="0"/>
        <w:autoSpaceDE w:val="0"/>
        <w:autoSpaceDN w:val="0"/>
        <w:adjustRightInd w:val="0"/>
        <w:spacing w:before="120"/>
        <w:textAlignment w:val="baseline"/>
        <w:rPr>
          <w:rFonts w:eastAsia="微软雅黑"/>
          <w:lang w:val="en-GB"/>
        </w:rPr>
      </w:pPr>
      <w:r>
        <w:rPr>
          <w:rFonts w:eastAsia="微软雅黑"/>
          <w:lang w:val="en-GB"/>
        </w:rPr>
        <w:t>In this section, in order to well evaluate different scenarios, we provide our SLS (indoor hotspot and dense urban) and LLS evaluation results for Option 1.</w:t>
      </w:r>
    </w:p>
    <w:p>
      <w:pPr>
        <w:overflowPunct w:val="0"/>
        <w:autoSpaceDE w:val="0"/>
        <w:autoSpaceDN w:val="0"/>
        <w:adjustRightInd w:val="0"/>
        <w:spacing w:before="120"/>
        <w:textAlignment w:val="baseline"/>
        <w:rPr>
          <w:rFonts w:eastAsia="微软雅黑"/>
          <w:lang w:val="en-GB"/>
        </w:rPr>
      </w:pPr>
      <w:r>
        <w:rPr>
          <w:rFonts w:eastAsia="微软雅黑"/>
          <w:lang w:val="en-GB"/>
        </w:rPr>
        <w:t>According to the grouping criteria of Option 1 (panel</w:t>
      </w:r>
      <w:r>
        <w:rPr>
          <w:rFonts w:hint="eastAsia" w:eastAsia="微软雅黑"/>
        </w:rPr>
        <w:t>-</w:t>
      </w:r>
      <w:r>
        <w:rPr>
          <w:rFonts w:eastAsia="微软雅黑"/>
          <w:lang w:val="en-GB"/>
        </w:rPr>
        <w:t xml:space="preserve">specific reporting), we evaluate SLS performance for the case that </w:t>
      </w:r>
      <w:r>
        <w:rPr>
          <w:rFonts w:hint="eastAsia" w:eastAsia="微软雅黑"/>
          <w:lang w:val="en-GB"/>
        </w:rPr>
        <w:t>a</w:t>
      </w:r>
      <w:r>
        <w:rPr>
          <w:rFonts w:eastAsia="微软雅黑"/>
          <w:lang w:val="en-GB"/>
        </w:rPr>
        <w:t xml:space="preserve"> UE with 2 Rx panels is served by 2 TRPs in the indoor hotspot and dense urban scenarios under UE blockage model of TS 38.901. The results are summarized in Table </w:t>
      </w:r>
      <w:r>
        <w:rPr>
          <w:rFonts w:hint="eastAsia" w:eastAsia="微软雅黑"/>
        </w:rPr>
        <w:t>1 and Table 2</w:t>
      </w:r>
      <w:r>
        <w:rPr>
          <w:rFonts w:eastAsia="微软雅黑"/>
          <w:lang w:val="en-GB"/>
        </w:rPr>
        <w:t>.</w:t>
      </w:r>
      <w:r>
        <w:rPr>
          <w:rFonts w:hint="eastAsia" w:eastAsia="微软雅黑"/>
        </w:rPr>
        <w:t xml:space="preserve"> </w:t>
      </w:r>
      <w:r>
        <w:rPr>
          <w:rFonts w:eastAsia="微软雅黑"/>
          <w:lang w:val="en-GB"/>
        </w:rPr>
        <w:t>Some more details can be found in our companion contribution [2].</w:t>
      </w:r>
    </w:p>
    <w:p>
      <w:pPr>
        <w:numPr>
          <w:ilvl w:val="0"/>
          <w:numId w:val="13"/>
        </w:numPr>
        <w:overflowPunct w:val="0"/>
        <w:autoSpaceDE w:val="0"/>
        <w:autoSpaceDN w:val="0"/>
        <w:adjustRightInd w:val="0"/>
        <w:spacing w:before="120"/>
        <w:ind w:left="363" w:hanging="363"/>
        <w:textAlignment w:val="baseline"/>
        <w:rPr>
          <w:rFonts w:eastAsia="微软雅黑"/>
          <w:lang w:val="en-GB"/>
        </w:rPr>
      </w:pPr>
      <w:r>
        <w:t xml:space="preserve">With the increase of the number of beams to be reported M from only 1 to 4, the performance gain of 7.7% and 5.6% in terms of average UPT can be observed in indoor hotspot and </w:t>
      </w:r>
      <w:r>
        <w:rPr>
          <w:rFonts w:eastAsia="微软雅黑"/>
          <w:lang w:val="en-GB"/>
        </w:rPr>
        <w:t xml:space="preserve">dense urban. </w:t>
      </w:r>
    </w:p>
    <w:p>
      <w:pPr>
        <w:numPr>
          <w:ilvl w:val="0"/>
          <w:numId w:val="13"/>
        </w:numPr>
        <w:overflowPunct w:val="0"/>
        <w:autoSpaceDE w:val="0"/>
        <w:autoSpaceDN w:val="0"/>
        <w:adjustRightInd w:val="0"/>
        <w:spacing w:before="120"/>
        <w:ind w:left="363" w:hanging="363"/>
        <w:textAlignment w:val="baseline"/>
        <w:rPr>
          <w:rFonts w:eastAsia="微软雅黑"/>
          <w:lang w:val="en-GB"/>
        </w:rPr>
      </w:pPr>
      <w:r>
        <w:rPr>
          <w:rFonts w:eastAsia="微软雅黑"/>
          <w:lang w:val="en-GB"/>
        </w:rPr>
        <w:t xml:space="preserve">For 5% cell edge UE in dense urban, we can find the performance gain of </w:t>
      </w:r>
      <w:r>
        <w:rPr>
          <w:rFonts w:hint="eastAsia" w:eastAsia="微软雅黑"/>
          <w:lang w:val="en-GB"/>
        </w:rPr>
        <w:t>36.8%</w:t>
      </w:r>
      <w:r>
        <w:rPr>
          <w:rFonts w:eastAsia="微软雅黑"/>
          <w:lang w:val="en-GB"/>
        </w:rPr>
        <w:t xml:space="preserve"> compared with Rel-15 group based reporting</w:t>
      </w:r>
      <w:r>
        <w:rPr>
          <w:lang w:val="en-GB"/>
        </w:rPr>
        <w:t xml:space="preserve">, which proves that the increase of candidate beams for each UE panel can distinctly enhance the performance of cell-edge UE with high mobility and be against the blockage and UE mobility. </w:t>
      </w:r>
    </w:p>
    <w:p>
      <w:pPr>
        <w:snapToGrid w:val="0"/>
        <w:spacing w:before="120" w:afterLines="50"/>
        <w:jc w:val="center"/>
        <w:rPr>
          <w:rFonts w:eastAsia="微软雅黑"/>
          <w:lang w:val="en-GB"/>
        </w:rPr>
      </w:pPr>
      <w:r>
        <w:rPr>
          <w:rFonts w:eastAsia="微软雅黑"/>
          <w:b/>
          <w:lang w:val="en-GB"/>
        </w:rPr>
        <w:t xml:space="preserve">Table </w:t>
      </w:r>
      <w:r>
        <w:rPr>
          <w:rFonts w:hint="eastAsia" w:eastAsia="微软雅黑"/>
          <w:b/>
        </w:rPr>
        <w:t>1</w:t>
      </w:r>
      <w:r>
        <w:rPr>
          <w:rFonts w:hint="eastAsia" w:eastAsia="微软雅黑"/>
          <w:lang w:val="en-GB"/>
        </w:rPr>
        <w:tab/>
      </w:r>
      <w:r>
        <w:rPr>
          <w:rFonts w:eastAsia="微软雅黑"/>
          <w:lang w:val="en-GB"/>
        </w:rPr>
        <w:t>SLS for Option 1 (panel</w:t>
      </w:r>
      <w:r>
        <w:rPr>
          <w:rFonts w:hint="eastAsia" w:eastAsia="微软雅黑"/>
        </w:rPr>
        <w:t>-</w:t>
      </w:r>
      <w:r>
        <w:rPr>
          <w:rFonts w:eastAsia="微软雅黑"/>
          <w:lang w:val="en-GB"/>
        </w:rPr>
        <w:t>specific reporting)</w:t>
      </w:r>
      <w:r>
        <w:rPr>
          <w:rFonts w:hint="eastAsia" w:eastAsia="微软雅黑"/>
          <w:lang w:val="en-GB"/>
        </w:rPr>
        <w:t xml:space="preserve"> with </w:t>
      </w:r>
      <w:r>
        <w:rPr>
          <w:rFonts w:hint="eastAsia" w:eastAsia="微软雅黑"/>
          <w:b/>
          <w:i/>
          <w:lang w:val="en-GB"/>
        </w:rPr>
        <w:t xml:space="preserve">M beams per group to be reported and </w:t>
      </w:r>
      <w:r>
        <w:rPr>
          <w:rFonts w:eastAsia="微软雅黑"/>
          <w:b/>
          <w:i/>
          <w:lang w:val="en-GB"/>
        </w:rPr>
        <w:t>N groups</w:t>
      </w:r>
      <w:r>
        <w:rPr>
          <w:rFonts w:eastAsia="微软雅黑"/>
          <w:lang w:val="en-GB"/>
        </w:rPr>
        <w:t xml:space="preserve"> in indoor hotspot</w:t>
      </w:r>
    </w:p>
    <w:tbl>
      <w:tblPr>
        <w:tblStyle w:val="23"/>
        <w:tblW w:w="9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19"/>
        <w:gridCol w:w="1554"/>
        <w:gridCol w:w="1559"/>
        <w:gridCol w:w="1701"/>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afterLines="50"/>
              <w:jc w:val="center"/>
              <w:textAlignment w:val="center"/>
              <w:rPr>
                <w:lang w:val="en-GB"/>
              </w:rPr>
            </w:pPr>
            <w:r>
              <w:rPr>
                <w:rFonts w:hint="eastAsia"/>
                <w:lang w:val="en-GB"/>
              </w:rPr>
              <w:t>U</w:t>
            </w:r>
            <w:r>
              <w:rPr>
                <w:lang w:val="en-GB"/>
              </w:rPr>
              <w:t>PT (Mbps)</w:t>
            </w:r>
          </w:p>
        </w:tc>
        <w:tc>
          <w:tcPr>
            <w:tcW w:w="1554" w:type="dxa"/>
          </w:tcPr>
          <w:p>
            <w:pPr>
              <w:spacing w:before="120" w:afterLines="50"/>
              <w:jc w:val="center"/>
              <w:textAlignment w:val="center"/>
              <w:rPr>
                <w:lang w:val="en-GB"/>
              </w:rPr>
            </w:pPr>
            <w:r>
              <w:rPr>
                <w:lang w:val="en-GB"/>
              </w:rPr>
              <w:t xml:space="preserve"> mean</w:t>
            </w:r>
          </w:p>
        </w:tc>
        <w:tc>
          <w:tcPr>
            <w:tcW w:w="1559" w:type="dxa"/>
          </w:tcPr>
          <w:p>
            <w:pPr>
              <w:spacing w:before="120" w:afterLines="50"/>
              <w:jc w:val="center"/>
              <w:textAlignment w:val="center"/>
              <w:rPr>
                <w:lang w:val="en-GB"/>
              </w:rPr>
            </w:pPr>
            <w:r>
              <w:rPr>
                <w:lang w:val="en-GB"/>
              </w:rPr>
              <w:t>5%-ile</w:t>
            </w:r>
          </w:p>
        </w:tc>
        <w:tc>
          <w:tcPr>
            <w:tcW w:w="1701" w:type="dxa"/>
          </w:tcPr>
          <w:p>
            <w:pPr>
              <w:spacing w:before="120" w:afterLines="50"/>
              <w:jc w:val="center"/>
              <w:textAlignment w:val="center"/>
              <w:rPr>
                <w:lang w:val="en-GB"/>
              </w:rPr>
            </w:pPr>
            <w:r>
              <w:rPr>
                <w:lang w:val="en-GB"/>
              </w:rPr>
              <w:t>50%-ile</w:t>
            </w:r>
          </w:p>
        </w:tc>
        <w:tc>
          <w:tcPr>
            <w:tcW w:w="1701" w:type="dxa"/>
          </w:tcPr>
          <w:p>
            <w:pPr>
              <w:spacing w:before="120" w:afterLines="50"/>
              <w:jc w:val="center"/>
              <w:textAlignment w:val="center"/>
              <w:rPr>
                <w:lang w:val="en-GB"/>
              </w:rPr>
            </w:pPr>
            <w:r>
              <w:rPr>
                <w:lang w:val="en-GB"/>
              </w:rPr>
              <w:t>95%-ile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afterLines="5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1</w:t>
            </w:r>
            <w:r>
              <w:rPr>
                <w:rFonts w:hint="eastAsia"/>
                <w:lang w:val="en-GB"/>
              </w:rPr>
              <w:t xml:space="preserve"> beam</w:t>
            </w:r>
            <w:r>
              <w:rPr>
                <w:lang w:val="en-GB"/>
              </w:rPr>
              <w:t>)</w:t>
            </w:r>
          </w:p>
          <w:p>
            <w:pPr>
              <w:spacing w:before="120" w:afterLines="50"/>
              <w:jc w:val="center"/>
              <w:textAlignment w:val="center"/>
              <w:rPr>
                <w:lang w:val="en-GB"/>
              </w:rPr>
            </w:pPr>
            <w:r>
              <w:rPr>
                <w:lang w:val="en-GB"/>
              </w:rPr>
              <w:t>i.e., Rel-15 group reporting</w:t>
            </w:r>
          </w:p>
        </w:tc>
        <w:tc>
          <w:tcPr>
            <w:tcW w:w="1554" w:type="dxa"/>
          </w:tcPr>
          <w:p>
            <w:pPr>
              <w:spacing w:before="120" w:afterLines="50"/>
              <w:jc w:val="center"/>
              <w:textAlignment w:val="center"/>
              <w:rPr>
                <w:lang w:val="en-GB"/>
              </w:rPr>
            </w:pPr>
            <w:r>
              <w:rPr>
                <w:lang w:val="en-GB"/>
              </w:rPr>
              <w:t>89.48</w:t>
            </w:r>
          </w:p>
          <w:p>
            <w:pPr>
              <w:spacing w:before="120" w:afterLines="50"/>
              <w:jc w:val="center"/>
              <w:textAlignment w:val="center"/>
              <w:rPr>
                <w:lang w:val="en-GB"/>
              </w:rPr>
            </w:pPr>
            <w:r>
              <w:rPr>
                <w:rFonts w:hint="eastAsia"/>
                <w:lang w:val="en-GB"/>
              </w:rPr>
              <w:t>(</w:t>
            </w:r>
            <w:r>
              <w:rPr>
                <w:lang w:val="en-GB"/>
              </w:rPr>
              <w:t>100%</w:t>
            </w:r>
            <w:r>
              <w:rPr>
                <w:rFonts w:hint="eastAsia"/>
                <w:lang w:val="en-GB"/>
              </w:rPr>
              <w:t>)</w:t>
            </w:r>
          </w:p>
        </w:tc>
        <w:tc>
          <w:tcPr>
            <w:tcW w:w="1559" w:type="dxa"/>
          </w:tcPr>
          <w:p>
            <w:pPr>
              <w:spacing w:before="120" w:afterLines="50"/>
              <w:jc w:val="center"/>
              <w:textAlignment w:val="center"/>
              <w:rPr>
                <w:lang w:val="en-GB"/>
              </w:rPr>
            </w:pPr>
            <w:r>
              <w:rPr>
                <w:lang w:val="en-GB"/>
              </w:rPr>
              <w:t>52.02</w:t>
            </w:r>
          </w:p>
          <w:p>
            <w:pPr>
              <w:spacing w:before="120" w:afterLines="50"/>
              <w:jc w:val="center"/>
              <w:textAlignment w:val="center"/>
              <w:rPr>
                <w:lang w:val="en-GB"/>
              </w:rPr>
            </w:pPr>
            <w:r>
              <w:rPr>
                <w:rFonts w:hint="eastAsia"/>
                <w:lang w:val="en-GB"/>
              </w:rPr>
              <w:t>(</w:t>
            </w:r>
            <w:r>
              <w:rPr>
                <w:lang w:val="en-GB"/>
              </w:rPr>
              <w:t>100%</w:t>
            </w:r>
            <w:r>
              <w:rPr>
                <w:rFonts w:hint="eastAsia"/>
                <w:lang w:val="en-GB"/>
              </w:rPr>
              <w:t>)</w:t>
            </w:r>
          </w:p>
        </w:tc>
        <w:tc>
          <w:tcPr>
            <w:tcW w:w="1701" w:type="dxa"/>
          </w:tcPr>
          <w:p>
            <w:pPr>
              <w:spacing w:before="120" w:afterLines="50"/>
              <w:jc w:val="center"/>
              <w:textAlignment w:val="center"/>
              <w:rPr>
                <w:lang w:val="en-GB"/>
              </w:rPr>
            </w:pPr>
            <w:r>
              <w:rPr>
                <w:rFonts w:hint="eastAsia"/>
                <w:lang w:val="en-GB"/>
              </w:rPr>
              <w:t>7</w:t>
            </w:r>
            <w:r>
              <w:rPr>
                <w:lang w:val="en-GB"/>
              </w:rPr>
              <w:t>9.20</w:t>
            </w:r>
          </w:p>
          <w:p>
            <w:pPr>
              <w:spacing w:before="120" w:afterLines="50"/>
              <w:jc w:val="center"/>
              <w:textAlignment w:val="center"/>
              <w:rPr>
                <w:lang w:val="en-GB"/>
              </w:rPr>
            </w:pPr>
            <w:r>
              <w:rPr>
                <w:rFonts w:hint="eastAsia"/>
                <w:lang w:val="en-GB"/>
              </w:rPr>
              <w:t>(</w:t>
            </w:r>
            <w:r>
              <w:rPr>
                <w:lang w:val="en-GB"/>
              </w:rPr>
              <w:t>100%</w:t>
            </w:r>
            <w:r>
              <w:rPr>
                <w:rFonts w:hint="eastAsia"/>
                <w:lang w:val="en-GB"/>
              </w:rPr>
              <w:t>)</w:t>
            </w:r>
          </w:p>
        </w:tc>
        <w:tc>
          <w:tcPr>
            <w:tcW w:w="1701" w:type="dxa"/>
          </w:tcPr>
          <w:p>
            <w:pPr>
              <w:spacing w:before="120" w:afterLines="50"/>
              <w:jc w:val="center"/>
              <w:textAlignment w:val="center"/>
              <w:rPr>
                <w:lang w:val="en-GB"/>
              </w:rPr>
            </w:pPr>
            <w:r>
              <w:rPr>
                <w:lang w:val="en-GB"/>
              </w:rPr>
              <w:t>176.47</w:t>
            </w:r>
          </w:p>
          <w:p>
            <w:pPr>
              <w:spacing w:before="120" w:afterLines="50"/>
              <w:jc w:val="center"/>
              <w:textAlignment w:val="center"/>
              <w:rPr>
                <w:lang w:val="en-GB"/>
              </w:rPr>
            </w:pPr>
            <w:r>
              <w:rPr>
                <w:rFonts w:hint="eastAsia"/>
                <w:lang w:val="en-GB"/>
              </w:rPr>
              <w:t>(</w:t>
            </w:r>
            <w:r>
              <w:rPr>
                <w:lang w:val="en-GB"/>
              </w:rPr>
              <w:t>100%</w:t>
            </w:r>
            <w:r>
              <w:rPr>
                <w:rFonts w:hint="eastAsia"/>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afterLines="5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2</w:t>
            </w:r>
            <w:r>
              <w:rPr>
                <w:rFonts w:hint="eastAsia"/>
                <w:lang w:val="en-GB"/>
              </w:rPr>
              <w:t xml:space="preserve"> beam</w:t>
            </w:r>
            <w:r>
              <w:rPr>
                <w:lang w:val="en-GB"/>
              </w:rPr>
              <w:t>s)</w:t>
            </w:r>
          </w:p>
        </w:tc>
        <w:tc>
          <w:tcPr>
            <w:tcW w:w="1554" w:type="dxa"/>
          </w:tcPr>
          <w:p>
            <w:pPr>
              <w:spacing w:before="120" w:afterLines="50"/>
              <w:jc w:val="center"/>
              <w:textAlignment w:val="center"/>
              <w:rPr>
                <w:lang w:val="en-GB"/>
              </w:rPr>
            </w:pPr>
            <w:r>
              <w:rPr>
                <w:lang w:val="en-GB"/>
              </w:rPr>
              <w:t>93.34</w:t>
            </w:r>
          </w:p>
          <w:p>
            <w:pPr>
              <w:spacing w:before="120" w:afterLines="50"/>
              <w:jc w:val="center"/>
              <w:textAlignment w:val="center"/>
              <w:rPr>
                <w:lang w:val="en-GB"/>
              </w:rPr>
            </w:pPr>
            <w:r>
              <w:rPr>
                <w:lang w:val="en-GB"/>
              </w:rPr>
              <w:t>(</w:t>
            </w:r>
            <w:r>
              <w:rPr>
                <w:color w:val="FF0000"/>
                <w:lang w:val="en-GB"/>
              </w:rPr>
              <w:t>+4.3%↑</w:t>
            </w:r>
            <w:r>
              <w:rPr>
                <w:lang w:val="en-GB"/>
              </w:rPr>
              <w:t>)</w:t>
            </w:r>
          </w:p>
        </w:tc>
        <w:tc>
          <w:tcPr>
            <w:tcW w:w="1559" w:type="dxa"/>
          </w:tcPr>
          <w:p>
            <w:pPr>
              <w:spacing w:before="120" w:afterLines="50"/>
              <w:jc w:val="center"/>
              <w:textAlignment w:val="center"/>
              <w:rPr>
                <w:lang w:val="en-GB"/>
              </w:rPr>
            </w:pPr>
            <w:r>
              <w:rPr>
                <w:lang w:val="en-GB"/>
              </w:rPr>
              <w:t>55.50</w:t>
            </w:r>
          </w:p>
          <w:p>
            <w:pPr>
              <w:spacing w:before="120" w:afterLines="50"/>
              <w:jc w:val="center"/>
              <w:textAlignment w:val="center"/>
              <w:rPr>
                <w:lang w:val="en-GB"/>
              </w:rPr>
            </w:pPr>
            <w:r>
              <w:rPr>
                <w:lang w:val="en-GB"/>
              </w:rPr>
              <w:t>(</w:t>
            </w:r>
            <w:r>
              <w:rPr>
                <w:color w:val="FF0000"/>
                <w:lang w:val="en-GB"/>
              </w:rPr>
              <w:t>+6.7%↑</w:t>
            </w:r>
            <w:r>
              <w:rPr>
                <w:lang w:val="en-GB"/>
              </w:rPr>
              <w:t>)</w:t>
            </w:r>
          </w:p>
        </w:tc>
        <w:tc>
          <w:tcPr>
            <w:tcW w:w="1701" w:type="dxa"/>
          </w:tcPr>
          <w:p>
            <w:pPr>
              <w:spacing w:before="120" w:afterLines="50"/>
              <w:jc w:val="center"/>
              <w:textAlignment w:val="center"/>
              <w:rPr>
                <w:lang w:val="en-GB"/>
              </w:rPr>
            </w:pPr>
            <w:r>
              <w:rPr>
                <w:lang w:val="en-GB"/>
              </w:rPr>
              <w:t>84.19</w:t>
            </w:r>
          </w:p>
          <w:p>
            <w:pPr>
              <w:spacing w:before="120" w:afterLines="50"/>
              <w:jc w:val="center"/>
              <w:textAlignment w:val="center"/>
              <w:rPr>
                <w:lang w:val="en-GB"/>
              </w:rPr>
            </w:pPr>
            <w:r>
              <w:rPr>
                <w:lang w:val="en-GB"/>
              </w:rPr>
              <w:t>(</w:t>
            </w:r>
            <w:r>
              <w:rPr>
                <w:color w:val="FF0000"/>
                <w:lang w:val="en-GB"/>
              </w:rPr>
              <w:t>+6.3%↑</w:t>
            </w:r>
            <w:r>
              <w:rPr>
                <w:lang w:val="en-GB"/>
              </w:rPr>
              <w:t>)</w:t>
            </w:r>
          </w:p>
        </w:tc>
        <w:tc>
          <w:tcPr>
            <w:tcW w:w="1701" w:type="dxa"/>
          </w:tcPr>
          <w:p>
            <w:pPr>
              <w:spacing w:before="120" w:afterLines="50"/>
              <w:jc w:val="center"/>
              <w:textAlignment w:val="center"/>
              <w:rPr>
                <w:lang w:val="en-GB"/>
              </w:rPr>
            </w:pPr>
            <w:r>
              <w:rPr>
                <w:lang w:val="en-GB"/>
              </w:rPr>
              <w:t>182.06</w:t>
            </w:r>
          </w:p>
          <w:p>
            <w:pPr>
              <w:spacing w:before="120" w:afterLines="50"/>
              <w:jc w:val="center"/>
              <w:textAlignment w:val="center"/>
              <w:rPr>
                <w:lang w:val="en-GB"/>
              </w:rPr>
            </w:pPr>
            <w:r>
              <w:rPr>
                <w:lang w:val="en-GB"/>
              </w:rPr>
              <w:t>(</w:t>
            </w:r>
            <w:r>
              <w:rPr>
                <w:color w:val="FF0000"/>
                <w:lang w:val="en-GB"/>
              </w:rPr>
              <w:t>+3.2%↑</w:t>
            </w:r>
            <w:r>
              <w:rPr>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afterLines="5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4</w:t>
            </w:r>
            <w:r>
              <w:rPr>
                <w:rFonts w:hint="eastAsia"/>
                <w:lang w:val="en-GB"/>
              </w:rPr>
              <w:t xml:space="preserve"> beam</w:t>
            </w:r>
            <w:r>
              <w:rPr>
                <w:lang w:val="en-GB"/>
              </w:rPr>
              <w:t>s)</w:t>
            </w:r>
          </w:p>
        </w:tc>
        <w:tc>
          <w:tcPr>
            <w:tcW w:w="1554" w:type="dxa"/>
          </w:tcPr>
          <w:p>
            <w:pPr>
              <w:spacing w:before="120" w:afterLines="50"/>
              <w:jc w:val="center"/>
              <w:textAlignment w:val="center"/>
              <w:rPr>
                <w:lang w:val="en-GB"/>
              </w:rPr>
            </w:pPr>
            <w:r>
              <w:rPr>
                <w:lang w:val="en-GB"/>
              </w:rPr>
              <w:t>96.36</w:t>
            </w:r>
          </w:p>
          <w:p>
            <w:pPr>
              <w:spacing w:before="120" w:afterLines="50"/>
              <w:jc w:val="center"/>
              <w:textAlignment w:val="center"/>
              <w:rPr>
                <w:lang w:val="en-GB"/>
              </w:rPr>
            </w:pPr>
            <w:r>
              <w:rPr>
                <w:lang w:val="en-GB"/>
              </w:rPr>
              <w:t>(</w:t>
            </w:r>
            <w:r>
              <w:rPr>
                <w:color w:val="FF0000"/>
                <w:lang w:val="en-GB"/>
              </w:rPr>
              <w:t>+7</w:t>
            </w:r>
            <w:r>
              <w:rPr>
                <w:rFonts w:hint="eastAsia"/>
                <w:color w:val="FF0000"/>
                <w:lang w:val="en-GB"/>
              </w:rPr>
              <w:t>.</w:t>
            </w:r>
            <w:r>
              <w:rPr>
                <w:color w:val="FF0000"/>
                <w:lang w:val="en-GB"/>
              </w:rPr>
              <w:t>7%↑</w:t>
            </w:r>
            <w:r>
              <w:rPr>
                <w:lang w:val="en-GB"/>
              </w:rPr>
              <w:t>)</w:t>
            </w:r>
          </w:p>
        </w:tc>
        <w:tc>
          <w:tcPr>
            <w:tcW w:w="1559" w:type="dxa"/>
          </w:tcPr>
          <w:p>
            <w:pPr>
              <w:spacing w:before="120" w:afterLines="50"/>
              <w:jc w:val="center"/>
              <w:textAlignment w:val="center"/>
              <w:rPr>
                <w:lang w:val="en-GB"/>
              </w:rPr>
            </w:pPr>
            <w:r>
              <w:rPr>
                <w:lang w:val="en-GB"/>
              </w:rPr>
              <w:t>55.82</w:t>
            </w:r>
          </w:p>
          <w:p>
            <w:pPr>
              <w:spacing w:before="120" w:afterLines="50"/>
              <w:jc w:val="center"/>
              <w:textAlignment w:val="center"/>
              <w:rPr>
                <w:lang w:val="en-GB"/>
              </w:rPr>
            </w:pPr>
            <w:r>
              <w:rPr>
                <w:lang w:val="en-GB"/>
              </w:rPr>
              <w:t>(</w:t>
            </w:r>
            <w:r>
              <w:rPr>
                <w:color w:val="FF0000"/>
                <w:lang w:val="en-GB"/>
              </w:rPr>
              <w:t>+7.3%↑</w:t>
            </w:r>
            <w:r>
              <w:rPr>
                <w:lang w:val="en-GB"/>
              </w:rPr>
              <w:t>)</w:t>
            </w:r>
          </w:p>
        </w:tc>
        <w:tc>
          <w:tcPr>
            <w:tcW w:w="1701" w:type="dxa"/>
          </w:tcPr>
          <w:p>
            <w:pPr>
              <w:spacing w:before="120" w:afterLines="50"/>
              <w:jc w:val="center"/>
              <w:textAlignment w:val="center"/>
              <w:rPr>
                <w:lang w:val="en-GB"/>
              </w:rPr>
            </w:pPr>
            <w:r>
              <w:rPr>
                <w:lang w:val="en-GB"/>
              </w:rPr>
              <w:t>84.82</w:t>
            </w:r>
          </w:p>
          <w:p>
            <w:pPr>
              <w:spacing w:before="120" w:afterLines="50"/>
              <w:jc w:val="center"/>
              <w:textAlignment w:val="center"/>
              <w:rPr>
                <w:lang w:val="en-GB"/>
              </w:rPr>
            </w:pPr>
            <w:r>
              <w:rPr>
                <w:lang w:val="en-GB"/>
              </w:rPr>
              <w:t>(</w:t>
            </w:r>
            <w:r>
              <w:rPr>
                <w:color w:val="FF0000"/>
                <w:lang w:val="en-GB"/>
              </w:rPr>
              <w:t>+7.1%↑</w:t>
            </w:r>
            <w:r>
              <w:rPr>
                <w:lang w:val="en-GB"/>
              </w:rPr>
              <w:t>)</w:t>
            </w:r>
          </w:p>
        </w:tc>
        <w:tc>
          <w:tcPr>
            <w:tcW w:w="1701" w:type="dxa"/>
          </w:tcPr>
          <w:p>
            <w:pPr>
              <w:spacing w:before="120" w:afterLines="50"/>
              <w:jc w:val="center"/>
              <w:textAlignment w:val="center"/>
              <w:rPr>
                <w:lang w:val="en-GB"/>
              </w:rPr>
            </w:pPr>
            <w:r>
              <w:rPr>
                <w:lang w:val="en-GB"/>
              </w:rPr>
              <w:t>183.05</w:t>
            </w:r>
          </w:p>
          <w:p>
            <w:pPr>
              <w:spacing w:before="120" w:afterLines="50"/>
              <w:jc w:val="center"/>
              <w:textAlignment w:val="center"/>
              <w:rPr>
                <w:lang w:val="en-GB"/>
              </w:rPr>
            </w:pPr>
            <w:r>
              <w:rPr>
                <w:lang w:val="en-GB"/>
              </w:rPr>
              <w:t>(</w:t>
            </w:r>
            <w:r>
              <w:rPr>
                <w:color w:val="FF0000"/>
                <w:lang w:val="en-GB"/>
              </w:rPr>
              <w:t>+3.7%↑</w:t>
            </w:r>
            <w:r>
              <w:rPr>
                <w:lang w:val="en-GB"/>
              </w:rPr>
              <w:t>)</w:t>
            </w:r>
          </w:p>
        </w:tc>
      </w:tr>
    </w:tbl>
    <w:p>
      <w:pPr>
        <w:snapToGrid w:val="0"/>
        <w:spacing w:before="120" w:afterLines="50"/>
        <w:jc w:val="center"/>
        <w:rPr>
          <w:rFonts w:eastAsia="微软雅黑"/>
          <w:lang w:val="en-GB"/>
        </w:rPr>
      </w:pPr>
      <w:r>
        <w:rPr>
          <w:rFonts w:eastAsia="微软雅黑"/>
          <w:b/>
          <w:lang w:val="en-GB"/>
        </w:rPr>
        <w:t xml:space="preserve">Table </w:t>
      </w:r>
      <w:r>
        <w:rPr>
          <w:rFonts w:hint="eastAsia" w:eastAsia="微软雅黑"/>
          <w:b/>
        </w:rPr>
        <w:t>2</w:t>
      </w:r>
      <w:r>
        <w:rPr>
          <w:rFonts w:hint="eastAsia" w:eastAsia="微软雅黑"/>
          <w:lang w:val="en-GB"/>
        </w:rPr>
        <w:tab/>
      </w:r>
      <w:r>
        <w:rPr>
          <w:rFonts w:eastAsia="微软雅黑"/>
          <w:lang w:val="en-GB"/>
        </w:rPr>
        <w:t>SLS for Option 1 (panel</w:t>
      </w:r>
      <w:r>
        <w:rPr>
          <w:rFonts w:hint="eastAsia" w:eastAsia="微软雅黑"/>
        </w:rPr>
        <w:t>-</w:t>
      </w:r>
      <w:r>
        <w:rPr>
          <w:rFonts w:eastAsia="微软雅黑"/>
          <w:lang w:val="en-GB"/>
        </w:rPr>
        <w:t>specific reporting)</w:t>
      </w:r>
      <w:r>
        <w:rPr>
          <w:rFonts w:hint="eastAsia" w:eastAsia="微软雅黑"/>
          <w:lang w:val="en-GB"/>
        </w:rPr>
        <w:t xml:space="preserve"> with </w:t>
      </w:r>
      <w:r>
        <w:rPr>
          <w:rFonts w:hint="eastAsia" w:eastAsia="微软雅黑"/>
          <w:b/>
          <w:i/>
          <w:lang w:val="en-GB"/>
        </w:rPr>
        <w:t xml:space="preserve">M beams per group to be reported and </w:t>
      </w:r>
      <w:r>
        <w:rPr>
          <w:rFonts w:eastAsia="微软雅黑"/>
          <w:b/>
          <w:i/>
          <w:lang w:val="en-GB"/>
        </w:rPr>
        <w:t>N groups</w:t>
      </w:r>
      <w:r>
        <w:rPr>
          <w:rFonts w:eastAsia="微软雅黑"/>
          <w:lang w:val="en-GB"/>
        </w:rPr>
        <w:t xml:space="preserve"> in dense urban</w:t>
      </w:r>
    </w:p>
    <w:tbl>
      <w:tblPr>
        <w:tblStyle w:val="23"/>
        <w:tblW w:w="963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19"/>
        <w:gridCol w:w="1554"/>
        <w:gridCol w:w="1559"/>
        <w:gridCol w:w="1701"/>
        <w:gridCol w:w="170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afterLines="50"/>
              <w:jc w:val="center"/>
              <w:textAlignment w:val="center"/>
              <w:rPr>
                <w:lang w:val="en-GB"/>
              </w:rPr>
            </w:pPr>
            <w:r>
              <w:rPr>
                <w:rFonts w:hint="eastAsia"/>
                <w:lang w:val="en-GB"/>
              </w:rPr>
              <w:t>U</w:t>
            </w:r>
            <w:r>
              <w:rPr>
                <w:lang w:val="en-GB"/>
              </w:rPr>
              <w:t>PT (Mbps)</w:t>
            </w:r>
          </w:p>
        </w:tc>
        <w:tc>
          <w:tcPr>
            <w:tcW w:w="1554" w:type="dxa"/>
          </w:tcPr>
          <w:p>
            <w:pPr>
              <w:spacing w:before="120" w:afterLines="50"/>
              <w:jc w:val="center"/>
              <w:textAlignment w:val="center"/>
              <w:rPr>
                <w:lang w:val="en-GB"/>
              </w:rPr>
            </w:pPr>
            <w:r>
              <w:rPr>
                <w:lang w:val="en-GB"/>
              </w:rPr>
              <w:t xml:space="preserve"> mean</w:t>
            </w:r>
          </w:p>
        </w:tc>
        <w:tc>
          <w:tcPr>
            <w:tcW w:w="1559" w:type="dxa"/>
          </w:tcPr>
          <w:p>
            <w:pPr>
              <w:spacing w:before="120" w:afterLines="50"/>
              <w:jc w:val="center"/>
              <w:textAlignment w:val="center"/>
              <w:rPr>
                <w:lang w:val="en-GB"/>
              </w:rPr>
            </w:pPr>
            <w:r>
              <w:rPr>
                <w:lang w:val="en-GB"/>
              </w:rPr>
              <w:t>5%-ile</w:t>
            </w:r>
          </w:p>
        </w:tc>
        <w:tc>
          <w:tcPr>
            <w:tcW w:w="1701" w:type="dxa"/>
          </w:tcPr>
          <w:p>
            <w:pPr>
              <w:spacing w:before="120" w:afterLines="50"/>
              <w:jc w:val="center"/>
              <w:textAlignment w:val="center"/>
              <w:rPr>
                <w:lang w:val="en-GB"/>
              </w:rPr>
            </w:pPr>
            <w:r>
              <w:rPr>
                <w:lang w:val="en-GB"/>
              </w:rPr>
              <w:t>50%-ile</w:t>
            </w:r>
          </w:p>
        </w:tc>
        <w:tc>
          <w:tcPr>
            <w:tcW w:w="1701" w:type="dxa"/>
          </w:tcPr>
          <w:p>
            <w:pPr>
              <w:spacing w:before="120" w:afterLines="50"/>
              <w:jc w:val="center"/>
              <w:textAlignment w:val="center"/>
              <w:rPr>
                <w:lang w:val="en-GB"/>
              </w:rPr>
            </w:pPr>
            <w:r>
              <w:rPr>
                <w:lang w:val="en-GB"/>
              </w:rPr>
              <w:t>95%-ile</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afterLines="5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1</w:t>
            </w:r>
            <w:r>
              <w:rPr>
                <w:rFonts w:hint="eastAsia"/>
                <w:lang w:val="en-GB"/>
              </w:rPr>
              <w:t xml:space="preserve"> beam</w:t>
            </w:r>
            <w:r>
              <w:rPr>
                <w:lang w:val="en-GB"/>
              </w:rPr>
              <w:t>)</w:t>
            </w:r>
          </w:p>
          <w:p>
            <w:pPr>
              <w:spacing w:before="120" w:afterLines="50"/>
              <w:jc w:val="center"/>
              <w:textAlignment w:val="center"/>
              <w:rPr>
                <w:lang w:val="en-GB"/>
              </w:rPr>
            </w:pPr>
            <w:r>
              <w:rPr>
                <w:lang w:val="en-GB"/>
              </w:rPr>
              <w:t>i.e., Rel-15 group reporting</w:t>
            </w:r>
          </w:p>
        </w:tc>
        <w:tc>
          <w:tcPr>
            <w:tcW w:w="1554" w:type="dxa"/>
          </w:tcPr>
          <w:p>
            <w:pPr>
              <w:spacing w:before="120" w:afterLines="50"/>
              <w:jc w:val="center"/>
              <w:textAlignment w:val="center"/>
              <w:rPr>
                <w:lang w:val="en-GB"/>
              </w:rPr>
            </w:pPr>
            <w:r>
              <w:rPr>
                <w:lang w:val="en-GB"/>
              </w:rPr>
              <w:t>83.42</w:t>
            </w:r>
          </w:p>
          <w:p>
            <w:pPr>
              <w:spacing w:before="120" w:afterLines="50"/>
              <w:jc w:val="center"/>
              <w:textAlignment w:val="center"/>
              <w:rPr>
                <w:lang w:val="en-GB"/>
              </w:rPr>
            </w:pPr>
            <w:r>
              <w:rPr>
                <w:rFonts w:hint="eastAsia"/>
                <w:lang w:val="en-GB"/>
              </w:rPr>
              <w:t>(</w:t>
            </w:r>
            <w:r>
              <w:rPr>
                <w:lang w:val="en-GB"/>
              </w:rPr>
              <w:t>100%</w:t>
            </w:r>
            <w:r>
              <w:rPr>
                <w:rFonts w:hint="eastAsia"/>
                <w:lang w:val="en-GB"/>
              </w:rPr>
              <w:t>)</w:t>
            </w:r>
          </w:p>
        </w:tc>
        <w:tc>
          <w:tcPr>
            <w:tcW w:w="1559" w:type="dxa"/>
          </w:tcPr>
          <w:p>
            <w:pPr>
              <w:spacing w:before="120" w:afterLines="50"/>
              <w:jc w:val="center"/>
              <w:textAlignment w:val="center"/>
              <w:rPr>
                <w:lang w:val="en-GB"/>
              </w:rPr>
            </w:pPr>
            <w:r>
              <w:rPr>
                <w:lang w:val="en-GB"/>
              </w:rPr>
              <w:t>13.47</w:t>
            </w:r>
          </w:p>
          <w:p>
            <w:pPr>
              <w:spacing w:before="120" w:afterLines="50"/>
              <w:jc w:val="center"/>
              <w:textAlignment w:val="center"/>
              <w:rPr>
                <w:lang w:val="en-GB"/>
              </w:rPr>
            </w:pPr>
            <w:r>
              <w:rPr>
                <w:rFonts w:hint="eastAsia"/>
                <w:lang w:val="en-GB"/>
              </w:rPr>
              <w:t>(</w:t>
            </w:r>
            <w:r>
              <w:rPr>
                <w:lang w:val="en-GB"/>
              </w:rPr>
              <w:t>100%</w:t>
            </w:r>
            <w:r>
              <w:rPr>
                <w:rFonts w:hint="eastAsia"/>
                <w:lang w:val="en-GB"/>
              </w:rPr>
              <w:t>)</w:t>
            </w:r>
          </w:p>
        </w:tc>
        <w:tc>
          <w:tcPr>
            <w:tcW w:w="1701" w:type="dxa"/>
          </w:tcPr>
          <w:p>
            <w:pPr>
              <w:spacing w:before="120" w:afterLines="50"/>
              <w:jc w:val="center"/>
              <w:textAlignment w:val="center"/>
              <w:rPr>
                <w:lang w:val="en-GB"/>
              </w:rPr>
            </w:pPr>
            <w:r>
              <w:rPr>
                <w:rFonts w:hint="eastAsia"/>
                <w:lang w:val="en-GB"/>
              </w:rPr>
              <w:t>7</w:t>
            </w:r>
            <w:r>
              <w:rPr>
                <w:lang w:val="en-GB"/>
              </w:rPr>
              <w:t>7.65</w:t>
            </w:r>
          </w:p>
          <w:p>
            <w:pPr>
              <w:spacing w:before="120" w:afterLines="50"/>
              <w:jc w:val="center"/>
              <w:textAlignment w:val="center"/>
              <w:rPr>
                <w:lang w:val="en-GB"/>
              </w:rPr>
            </w:pPr>
            <w:r>
              <w:rPr>
                <w:rFonts w:hint="eastAsia"/>
                <w:lang w:val="en-GB"/>
              </w:rPr>
              <w:t>(</w:t>
            </w:r>
            <w:r>
              <w:rPr>
                <w:lang w:val="en-GB"/>
              </w:rPr>
              <w:t>100%</w:t>
            </w:r>
            <w:r>
              <w:rPr>
                <w:rFonts w:hint="eastAsia"/>
                <w:lang w:val="en-GB"/>
              </w:rPr>
              <w:t>)</w:t>
            </w:r>
          </w:p>
        </w:tc>
        <w:tc>
          <w:tcPr>
            <w:tcW w:w="1701" w:type="dxa"/>
          </w:tcPr>
          <w:p>
            <w:pPr>
              <w:spacing w:before="120" w:afterLines="50"/>
              <w:jc w:val="center"/>
              <w:textAlignment w:val="center"/>
              <w:rPr>
                <w:lang w:val="en-GB"/>
              </w:rPr>
            </w:pPr>
            <w:r>
              <w:rPr>
                <w:lang w:val="en-GB"/>
              </w:rPr>
              <w:t>165.66</w:t>
            </w:r>
          </w:p>
          <w:p>
            <w:pPr>
              <w:spacing w:before="120" w:afterLines="50"/>
              <w:jc w:val="center"/>
              <w:textAlignment w:val="center"/>
              <w:rPr>
                <w:lang w:val="en-GB"/>
              </w:rPr>
            </w:pPr>
            <w:r>
              <w:rPr>
                <w:rFonts w:hint="eastAsia"/>
                <w:lang w:val="en-GB"/>
              </w:rPr>
              <w:t>(</w:t>
            </w:r>
            <w:r>
              <w:rPr>
                <w:lang w:val="en-GB"/>
              </w:rPr>
              <w:t>100%</w:t>
            </w:r>
            <w:r>
              <w:rPr>
                <w:rFonts w:hint="eastAsia"/>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afterLines="5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2</w:t>
            </w:r>
            <w:r>
              <w:rPr>
                <w:rFonts w:hint="eastAsia"/>
                <w:lang w:val="en-GB"/>
              </w:rPr>
              <w:t xml:space="preserve"> beam</w:t>
            </w:r>
            <w:r>
              <w:rPr>
                <w:lang w:val="en-GB"/>
              </w:rPr>
              <w:t>s)</w:t>
            </w:r>
          </w:p>
        </w:tc>
        <w:tc>
          <w:tcPr>
            <w:tcW w:w="1554" w:type="dxa"/>
          </w:tcPr>
          <w:p>
            <w:pPr>
              <w:spacing w:before="120" w:afterLines="50"/>
              <w:jc w:val="center"/>
              <w:textAlignment w:val="center"/>
              <w:rPr>
                <w:lang w:val="en-GB"/>
              </w:rPr>
            </w:pPr>
            <w:r>
              <w:rPr>
                <w:lang w:val="en-GB"/>
              </w:rPr>
              <w:t>86.19</w:t>
            </w:r>
          </w:p>
          <w:p>
            <w:pPr>
              <w:spacing w:before="120" w:afterLines="50"/>
              <w:jc w:val="center"/>
              <w:textAlignment w:val="center"/>
              <w:rPr>
                <w:lang w:val="en-GB"/>
              </w:rPr>
            </w:pPr>
            <w:r>
              <w:rPr>
                <w:lang w:val="en-GB"/>
              </w:rPr>
              <w:t>(</w:t>
            </w:r>
            <w:r>
              <w:rPr>
                <w:color w:val="FF0000"/>
                <w:lang w:val="en-GB"/>
              </w:rPr>
              <w:t>+3</w:t>
            </w:r>
            <w:r>
              <w:rPr>
                <w:rFonts w:hint="eastAsia"/>
                <w:color w:val="FF0000"/>
                <w:lang w:val="en-GB"/>
              </w:rPr>
              <w:t>.</w:t>
            </w:r>
            <w:r>
              <w:rPr>
                <w:color w:val="FF0000"/>
                <w:lang w:val="en-GB"/>
              </w:rPr>
              <w:t>3%↑</w:t>
            </w:r>
            <w:r>
              <w:rPr>
                <w:lang w:val="en-GB"/>
              </w:rPr>
              <w:t>)</w:t>
            </w:r>
          </w:p>
        </w:tc>
        <w:tc>
          <w:tcPr>
            <w:tcW w:w="1559" w:type="dxa"/>
          </w:tcPr>
          <w:p>
            <w:pPr>
              <w:spacing w:before="120" w:afterLines="50"/>
              <w:jc w:val="center"/>
              <w:textAlignment w:val="center"/>
              <w:rPr>
                <w:lang w:val="en-GB"/>
              </w:rPr>
            </w:pPr>
            <w:r>
              <w:rPr>
                <w:lang w:val="en-GB"/>
              </w:rPr>
              <w:t>15.15</w:t>
            </w:r>
          </w:p>
          <w:p>
            <w:pPr>
              <w:spacing w:before="120" w:afterLines="50"/>
              <w:jc w:val="center"/>
              <w:textAlignment w:val="center"/>
              <w:rPr>
                <w:lang w:val="en-GB"/>
              </w:rPr>
            </w:pPr>
            <w:r>
              <w:rPr>
                <w:lang w:val="en-GB"/>
              </w:rPr>
              <w:t>(</w:t>
            </w:r>
            <w:r>
              <w:rPr>
                <w:color w:val="FF0000"/>
                <w:lang w:val="en-GB"/>
              </w:rPr>
              <w:t>+12.5%↑</w:t>
            </w:r>
            <w:r>
              <w:rPr>
                <w:lang w:val="en-GB"/>
              </w:rPr>
              <w:t>)</w:t>
            </w:r>
          </w:p>
        </w:tc>
        <w:tc>
          <w:tcPr>
            <w:tcW w:w="1701" w:type="dxa"/>
          </w:tcPr>
          <w:p>
            <w:pPr>
              <w:spacing w:before="120" w:afterLines="50"/>
              <w:jc w:val="center"/>
              <w:textAlignment w:val="center"/>
              <w:rPr>
                <w:lang w:val="en-GB"/>
              </w:rPr>
            </w:pPr>
            <w:r>
              <w:rPr>
                <w:lang w:val="en-GB"/>
              </w:rPr>
              <w:t>80.86</w:t>
            </w:r>
          </w:p>
          <w:p>
            <w:pPr>
              <w:spacing w:before="120" w:afterLines="50"/>
              <w:jc w:val="center"/>
              <w:textAlignment w:val="center"/>
              <w:rPr>
                <w:lang w:val="en-GB"/>
              </w:rPr>
            </w:pPr>
            <w:r>
              <w:rPr>
                <w:lang w:val="en-GB"/>
              </w:rPr>
              <w:t>(</w:t>
            </w:r>
            <w:r>
              <w:rPr>
                <w:color w:val="FF0000"/>
                <w:lang w:val="en-GB"/>
              </w:rPr>
              <w:t>+4.1%↑</w:t>
            </w:r>
            <w:r>
              <w:rPr>
                <w:lang w:val="en-GB"/>
              </w:rPr>
              <w:t>)</w:t>
            </w:r>
          </w:p>
        </w:tc>
        <w:tc>
          <w:tcPr>
            <w:tcW w:w="1701" w:type="dxa"/>
          </w:tcPr>
          <w:p>
            <w:pPr>
              <w:spacing w:before="120" w:afterLines="50"/>
              <w:jc w:val="center"/>
              <w:textAlignment w:val="center"/>
              <w:rPr>
                <w:lang w:val="en-GB"/>
              </w:rPr>
            </w:pPr>
            <w:r>
              <w:rPr>
                <w:lang w:val="en-GB"/>
              </w:rPr>
              <w:t>170.71</w:t>
            </w:r>
          </w:p>
          <w:p>
            <w:pPr>
              <w:spacing w:before="120" w:afterLines="50"/>
              <w:jc w:val="center"/>
              <w:textAlignment w:val="center"/>
              <w:rPr>
                <w:lang w:val="en-GB"/>
              </w:rPr>
            </w:pPr>
            <w:r>
              <w:rPr>
                <w:lang w:val="en-GB"/>
              </w:rPr>
              <w:t>(</w:t>
            </w:r>
            <w:r>
              <w:rPr>
                <w:color w:val="FF0000"/>
                <w:lang w:val="en-GB"/>
              </w:rPr>
              <w:t>+3.0%↑</w:t>
            </w:r>
            <w:r>
              <w:rPr>
                <w:lang w:val="en-GB"/>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119" w:type="dxa"/>
          </w:tcPr>
          <w:p>
            <w:pPr>
              <w:spacing w:before="120" w:afterLines="50"/>
              <w:jc w:val="center"/>
              <w:textAlignment w:val="center"/>
              <w:rPr>
                <w:lang w:val="en-GB"/>
              </w:rPr>
            </w:pPr>
            <w:r>
              <w:rPr>
                <w:lang w:val="en-GB"/>
              </w:rPr>
              <w:t>(</w:t>
            </w:r>
            <w:r>
              <w:rPr>
                <w:rFonts w:hint="eastAsia"/>
                <w:lang w:val="en-GB"/>
              </w:rPr>
              <w:t>N = 2 group</w:t>
            </w:r>
            <w:r>
              <w:rPr>
                <w:lang w:val="en-GB"/>
              </w:rPr>
              <w:t xml:space="preserve">, </w:t>
            </w:r>
            <w:r>
              <w:rPr>
                <w:rFonts w:hint="eastAsia"/>
                <w:lang w:val="en-GB"/>
              </w:rPr>
              <w:t xml:space="preserve">M = </w:t>
            </w:r>
            <w:r>
              <w:rPr>
                <w:lang w:val="en-GB"/>
              </w:rPr>
              <w:t>4</w:t>
            </w:r>
            <w:r>
              <w:rPr>
                <w:rFonts w:hint="eastAsia"/>
                <w:lang w:val="en-GB"/>
              </w:rPr>
              <w:t xml:space="preserve"> beam</w:t>
            </w:r>
            <w:r>
              <w:rPr>
                <w:lang w:val="en-GB"/>
              </w:rPr>
              <w:t>s)</w:t>
            </w:r>
          </w:p>
        </w:tc>
        <w:tc>
          <w:tcPr>
            <w:tcW w:w="1554" w:type="dxa"/>
          </w:tcPr>
          <w:p>
            <w:pPr>
              <w:spacing w:before="120" w:afterLines="50"/>
              <w:jc w:val="center"/>
              <w:textAlignment w:val="center"/>
              <w:rPr>
                <w:lang w:val="en-GB"/>
              </w:rPr>
            </w:pPr>
            <w:r>
              <w:rPr>
                <w:lang w:val="en-GB"/>
              </w:rPr>
              <w:t>88.09</w:t>
            </w:r>
          </w:p>
          <w:p>
            <w:pPr>
              <w:spacing w:before="120" w:afterLines="50"/>
              <w:jc w:val="center"/>
              <w:textAlignment w:val="center"/>
              <w:rPr>
                <w:lang w:val="en-GB"/>
              </w:rPr>
            </w:pPr>
            <w:r>
              <w:rPr>
                <w:lang w:val="en-GB"/>
              </w:rPr>
              <w:t>(</w:t>
            </w:r>
            <w:r>
              <w:rPr>
                <w:color w:val="FF0000"/>
                <w:lang w:val="en-GB"/>
              </w:rPr>
              <w:t>+5</w:t>
            </w:r>
            <w:r>
              <w:rPr>
                <w:rFonts w:hint="eastAsia"/>
                <w:color w:val="FF0000"/>
                <w:lang w:val="en-GB"/>
              </w:rPr>
              <w:t>.</w:t>
            </w:r>
            <w:r>
              <w:rPr>
                <w:color w:val="FF0000"/>
                <w:lang w:val="en-GB"/>
              </w:rPr>
              <w:t>6%↑</w:t>
            </w:r>
            <w:r>
              <w:rPr>
                <w:lang w:val="en-GB"/>
              </w:rPr>
              <w:t>)</w:t>
            </w:r>
          </w:p>
        </w:tc>
        <w:tc>
          <w:tcPr>
            <w:tcW w:w="1559" w:type="dxa"/>
          </w:tcPr>
          <w:p>
            <w:pPr>
              <w:spacing w:before="120" w:afterLines="50"/>
              <w:jc w:val="center"/>
              <w:textAlignment w:val="center"/>
              <w:rPr>
                <w:lang w:val="en-GB"/>
              </w:rPr>
            </w:pPr>
            <w:r>
              <w:rPr>
                <w:lang w:val="en-GB"/>
              </w:rPr>
              <w:t>18.42</w:t>
            </w:r>
          </w:p>
          <w:p>
            <w:pPr>
              <w:spacing w:before="120" w:afterLines="50"/>
              <w:jc w:val="center"/>
              <w:textAlignment w:val="center"/>
              <w:rPr>
                <w:lang w:val="en-GB"/>
              </w:rPr>
            </w:pPr>
            <w:r>
              <w:rPr>
                <w:lang w:val="en-GB"/>
              </w:rPr>
              <w:t>(</w:t>
            </w:r>
            <w:r>
              <w:rPr>
                <w:color w:val="FF0000"/>
                <w:lang w:val="en-GB"/>
              </w:rPr>
              <w:t>+36.8%↑</w:t>
            </w:r>
            <w:r>
              <w:rPr>
                <w:lang w:val="en-GB"/>
              </w:rPr>
              <w:t>)</w:t>
            </w:r>
          </w:p>
        </w:tc>
        <w:tc>
          <w:tcPr>
            <w:tcW w:w="1701" w:type="dxa"/>
          </w:tcPr>
          <w:p>
            <w:pPr>
              <w:spacing w:before="120" w:afterLines="50"/>
              <w:jc w:val="center"/>
              <w:textAlignment w:val="center"/>
              <w:rPr>
                <w:lang w:val="en-GB"/>
              </w:rPr>
            </w:pPr>
            <w:r>
              <w:rPr>
                <w:lang w:val="en-GB"/>
              </w:rPr>
              <w:t>81.40</w:t>
            </w:r>
          </w:p>
          <w:p>
            <w:pPr>
              <w:spacing w:before="120" w:afterLines="50"/>
              <w:jc w:val="center"/>
              <w:textAlignment w:val="center"/>
              <w:rPr>
                <w:lang w:val="en-GB"/>
              </w:rPr>
            </w:pPr>
            <w:r>
              <w:rPr>
                <w:lang w:val="en-GB"/>
              </w:rPr>
              <w:t>(</w:t>
            </w:r>
            <w:r>
              <w:rPr>
                <w:color w:val="FF0000"/>
                <w:lang w:val="en-GB"/>
              </w:rPr>
              <w:t>+4.8%↑</w:t>
            </w:r>
            <w:r>
              <w:rPr>
                <w:lang w:val="en-GB"/>
              </w:rPr>
              <w:t>)</w:t>
            </w:r>
          </w:p>
        </w:tc>
        <w:tc>
          <w:tcPr>
            <w:tcW w:w="1701" w:type="dxa"/>
          </w:tcPr>
          <w:p>
            <w:pPr>
              <w:spacing w:before="120" w:afterLines="50"/>
              <w:jc w:val="center"/>
              <w:textAlignment w:val="center"/>
              <w:rPr>
                <w:lang w:val="en-GB"/>
              </w:rPr>
            </w:pPr>
            <w:r>
              <w:rPr>
                <w:lang w:val="en-GB"/>
              </w:rPr>
              <w:t>170.07</w:t>
            </w:r>
          </w:p>
          <w:p>
            <w:pPr>
              <w:spacing w:before="120" w:afterLines="50"/>
              <w:jc w:val="center"/>
              <w:textAlignment w:val="center"/>
              <w:rPr>
                <w:lang w:val="en-GB"/>
              </w:rPr>
            </w:pPr>
            <w:r>
              <w:rPr>
                <w:lang w:val="en-GB"/>
              </w:rPr>
              <w:t>(</w:t>
            </w:r>
            <w:r>
              <w:rPr>
                <w:color w:val="FF0000"/>
                <w:lang w:val="en-GB"/>
              </w:rPr>
              <w:t>+2.7%↑</w:t>
            </w:r>
            <w:r>
              <w:rPr>
                <w:lang w:val="en-GB"/>
              </w:rPr>
              <w:t>)</w:t>
            </w:r>
          </w:p>
        </w:tc>
      </w:tr>
    </w:tbl>
    <w:p>
      <w:pPr>
        <w:spacing w:before="120" w:afterLines="50"/>
        <w:rPr>
          <w:b/>
          <w:i/>
        </w:rPr>
      </w:pPr>
      <w:r>
        <w:rPr>
          <w:b/>
          <w:i/>
        </w:rPr>
        <w:t xml:space="preserve">Observation </w:t>
      </w:r>
      <w:r>
        <w:rPr>
          <w:rFonts w:hint="eastAsia"/>
          <w:b/>
          <w:i/>
        </w:rPr>
        <w:t>1</w:t>
      </w:r>
      <w:r>
        <w:rPr>
          <w:b/>
          <w:i/>
        </w:rPr>
        <w:t xml:space="preserve">: </w:t>
      </w:r>
      <w:r>
        <w:rPr>
          <w:i/>
        </w:rPr>
        <w:t>From the evaluation results for group based reporting, it can be observed that:</w:t>
      </w:r>
    </w:p>
    <w:p>
      <w:pPr>
        <w:numPr>
          <w:ilvl w:val="0"/>
          <w:numId w:val="9"/>
        </w:numPr>
        <w:spacing w:before="120" w:after="0"/>
        <w:rPr>
          <w:i/>
          <w:iCs/>
        </w:rPr>
      </w:pPr>
      <w:r>
        <w:rPr>
          <w:i/>
          <w:iCs/>
        </w:rPr>
        <w:t>Increas</w:t>
      </w:r>
      <w:r>
        <w:rPr>
          <w:rFonts w:hint="eastAsia"/>
          <w:i/>
          <w:iCs/>
        </w:rPr>
        <w:t>ing</w:t>
      </w:r>
      <w:r>
        <w:rPr>
          <w:i/>
          <w:iCs/>
        </w:rPr>
        <w:t xml:space="preserve"> number of beams per group for Option 1 can bring significantly higher performance gain to combat blockage and UE mobility, especially for cell-edge UE in dense urban, through improving system flexibility with more candidate beams.</w:t>
      </w:r>
    </w:p>
    <w:p>
      <w:pPr>
        <w:spacing w:before="120" w:afterLines="50"/>
        <w:rPr>
          <w:i/>
        </w:rPr>
      </w:pPr>
      <w:r>
        <w:rPr>
          <w:b/>
          <w:i/>
        </w:rPr>
        <w:t xml:space="preserve">Proposal 3: </w:t>
      </w:r>
      <w:r>
        <w:rPr>
          <w:rFonts w:hint="eastAsia"/>
          <w:i/>
        </w:rPr>
        <w:t xml:space="preserve"> </w:t>
      </w:r>
      <w:r>
        <w:rPr>
          <w:i/>
        </w:rPr>
        <w:t>Extension of number of beams per group should be considered for Option 1 (panel</w:t>
      </w:r>
      <w:r>
        <w:rPr>
          <w:rFonts w:hint="eastAsia"/>
          <w:i/>
        </w:rPr>
        <w:t>-</w:t>
      </w:r>
      <w:r>
        <w:rPr>
          <w:i/>
        </w:rPr>
        <w:t>specific reporting) in Rel-17 NR-FeMIMO.</w:t>
      </w:r>
    </w:p>
    <w:p>
      <w:pPr>
        <w:numPr>
          <w:ilvl w:val="0"/>
          <w:numId w:val="9"/>
        </w:numPr>
        <w:spacing w:before="120" w:after="0"/>
        <w:rPr>
          <w:rFonts w:eastAsia="微软雅黑"/>
          <w:lang w:val="en-GB"/>
        </w:rPr>
      </w:pPr>
      <w:r>
        <w:rPr>
          <w:i/>
        </w:rPr>
        <w:t>In such case, UE can be configured to report N=2 groups and M (M =1, 2, 3, 4) beams per group.</w:t>
      </w:r>
    </w:p>
    <w:p>
      <w:pPr>
        <w:numPr>
          <w:ilvl w:val="2"/>
          <w:numId w:val="1"/>
        </w:numPr>
        <w:tabs>
          <w:tab w:val="clear" w:pos="720"/>
        </w:tabs>
        <w:snapToGrid w:val="0"/>
        <w:spacing w:before="120" w:afterLines="50" w:line="240" w:lineRule="auto"/>
        <w:ind w:left="607" w:hanging="607"/>
        <w:outlineLvl w:val="2"/>
        <w:rPr>
          <w:b/>
          <w:bCs/>
          <w:sz w:val="24"/>
          <w:szCs w:val="24"/>
        </w:rPr>
      </w:pPr>
      <w:r>
        <w:rPr>
          <w:b/>
          <w:bCs/>
          <w:sz w:val="24"/>
          <w:szCs w:val="24"/>
        </w:rPr>
        <w:t xml:space="preserve">Non-group based reporting (Option 3) </w:t>
      </w:r>
    </w:p>
    <w:p>
      <w:pPr>
        <w:pStyle w:val="45"/>
        <w:numPr>
          <w:ilvl w:val="255"/>
          <w:numId w:val="0"/>
        </w:numPr>
        <w:overflowPunct w:val="0"/>
        <w:autoSpaceDE w:val="0"/>
        <w:autoSpaceDN w:val="0"/>
        <w:adjustRightInd w:val="0"/>
        <w:spacing w:before="120" w:after="120"/>
        <w:textAlignment w:val="baseline"/>
        <w:rPr>
          <w:rFonts w:eastAsia="微软雅黑"/>
        </w:rPr>
      </w:pPr>
      <w:r>
        <w:rPr>
          <w:rFonts w:eastAsia="微软雅黑"/>
          <w:lang w:val="en-US"/>
        </w:rPr>
        <w:t>Besides, f</w:t>
      </w:r>
      <w:r>
        <w:rPr>
          <w:rFonts w:hint="eastAsia" w:eastAsia="微软雅黑"/>
          <w:lang w:val="en-US"/>
        </w:rPr>
        <w:t xml:space="preserve">or Option 3, </w:t>
      </w:r>
      <w:r>
        <w:rPr>
          <w:rFonts w:eastAsia="微软雅黑"/>
        </w:rPr>
        <w:t>compared with</w:t>
      </w:r>
      <w:r>
        <w:rPr>
          <w:rFonts w:hint="eastAsia" w:eastAsia="微软雅黑"/>
          <w:lang w:val="en-US"/>
        </w:rPr>
        <w:t xml:space="preserve"> Option 1 and Option 2</w:t>
      </w:r>
      <w:r>
        <w:rPr>
          <w:rFonts w:eastAsia="微软雅黑"/>
        </w:rPr>
        <w:t xml:space="preserve">, </w:t>
      </w:r>
      <w:r>
        <w:rPr>
          <w:rFonts w:hint="eastAsia" w:eastAsia="微软雅黑"/>
          <w:lang w:val="en-US"/>
        </w:rPr>
        <w:t xml:space="preserve">it </w:t>
      </w:r>
      <w:r>
        <w:rPr>
          <w:rFonts w:eastAsia="微软雅黑"/>
        </w:rPr>
        <w:t>split</w:t>
      </w:r>
      <w:r>
        <w:rPr>
          <w:rFonts w:hint="eastAsia" w:eastAsia="微软雅黑"/>
          <w:lang w:val="en-US"/>
        </w:rPr>
        <w:t>s</w:t>
      </w:r>
      <w:r>
        <w:rPr>
          <w:rFonts w:eastAsia="微软雅黑"/>
        </w:rPr>
        <w:t xml:space="preserve"> one report instance into multiple CSI report</w:t>
      </w:r>
      <w:r>
        <w:rPr>
          <w:rFonts w:hint="eastAsia" w:eastAsia="微软雅黑"/>
          <w:lang w:val="en-US"/>
        </w:rPr>
        <w:t>s</w:t>
      </w:r>
      <w:r>
        <w:rPr>
          <w:rFonts w:eastAsia="微软雅黑"/>
        </w:rPr>
        <w:t>, which may increase the implementation complexity of CSI configuration and reporting. Also, associating different report instances together may be difficult, e.g., we have to specify how to group two or more different report instances together, particularly for periodic and semi-persistent reporting.</w:t>
      </w:r>
    </w:p>
    <w:p>
      <w:pPr>
        <w:pStyle w:val="45"/>
        <w:numPr>
          <w:ilvl w:val="0"/>
          <w:numId w:val="14"/>
        </w:numPr>
        <w:overflowPunct w:val="0"/>
        <w:autoSpaceDE w:val="0"/>
        <w:autoSpaceDN w:val="0"/>
        <w:adjustRightInd w:val="0"/>
        <w:spacing w:before="120" w:after="120"/>
        <w:textAlignment w:val="baseline"/>
        <w:rPr>
          <w:rFonts w:eastAsia="微软雅黑"/>
        </w:rPr>
      </w:pPr>
      <w:r>
        <w:rPr>
          <w:rFonts w:hint="eastAsia" w:eastAsia="微软雅黑"/>
        </w:rPr>
        <w:t>T</w:t>
      </w:r>
      <w:r>
        <w:rPr>
          <w:rFonts w:eastAsia="微软雅黑"/>
        </w:rPr>
        <w:t xml:space="preserve">he potential benefit of </w:t>
      </w:r>
      <w:r>
        <w:rPr>
          <w:rFonts w:hint="eastAsia" w:eastAsia="微软雅黑"/>
          <w:lang w:val="en-US"/>
        </w:rPr>
        <w:t>Option 3</w:t>
      </w:r>
      <w:r>
        <w:rPr>
          <w:rFonts w:eastAsia="微软雅黑"/>
        </w:rPr>
        <w:t xml:space="preserve"> is to handle a non-ideal backhaul case, since multiple Tx beam group(s) corresponding to different UE panel(s) can be carried by respective reporting instances, each of which is associated with a different antenna group ID/panel ID and is sent to a respective TRP. But, as a large-scale parameter,</w:t>
      </w:r>
      <w:r>
        <w:t xml:space="preserve"> there is delay tolerant information for paring gNB Tx beam(s) and UE panel(s). </w:t>
      </w:r>
    </w:p>
    <w:p>
      <w:pPr>
        <w:pStyle w:val="45"/>
        <w:numPr>
          <w:ilvl w:val="1"/>
          <w:numId w:val="14"/>
        </w:numPr>
        <w:overflowPunct w:val="0"/>
        <w:autoSpaceDE w:val="0"/>
        <w:autoSpaceDN w:val="0"/>
        <w:adjustRightInd w:val="0"/>
        <w:spacing w:before="120" w:after="120"/>
        <w:textAlignment w:val="baseline"/>
        <w:rPr>
          <w:rFonts w:eastAsia="微软雅黑"/>
        </w:rPr>
      </w:pPr>
      <w:r>
        <w:t xml:space="preserve">For instance, considering a UE rotation of 60 rpm, the dwelling time for a UE panel (e.g., right, left and back in a phone) is about 0.5s, and TRP Tx beam to be reported per UE panel is kept unchanged during this dwelling time (only UE Rx beam should be refined/tracked). </w:t>
      </w:r>
    </w:p>
    <w:p>
      <w:pPr>
        <w:pStyle w:val="45"/>
        <w:numPr>
          <w:ilvl w:val="0"/>
          <w:numId w:val="14"/>
        </w:numPr>
        <w:overflowPunct w:val="0"/>
        <w:autoSpaceDE w:val="0"/>
        <w:autoSpaceDN w:val="0"/>
        <w:adjustRightInd w:val="0"/>
        <w:spacing w:before="120" w:after="120"/>
        <w:textAlignment w:val="baseline"/>
        <w:rPr>
          <w:rFonts w:eastAsia="微软雅黑"/>
        </w:rPr>
      </w:pPr>
      <w:r>
        <w:rPr>
          <w:rFonts w:eastAsia="微软雅黑"/>
        </w:rPr>
        <w:t>Consequently</w:t>
      </w:r>
      <w:r>
        <w:t xml:space="preserve">, the potential benefit may be limited, and from our perspective, </w:t>
      </w:r>
      <w:r>
        <w:rPr>
          <w:rFonts w:eastAsia="微软雅黑"/>
        </w:rPr>
        <w:t>Option 1 and Option 2</w:t>
      </w:r>
      <w:r>
        <w:t xml:space="preserve"> can still leverage non-ideal backhaul to coordinate certain delay tolerant information for beam reporting.</w:t>
      </w:r>
    </w:p>
    <w:p>
      <w:pPr>
        <w:spacing w:before="120"/>
        <w:rPr>
          <w:i/>
        </w:rPr>
      </w:pPr>
      <w:r>
        <w:rPr>
          <w:b/>
          <w:i/>
        </w:rPr>
        <w:t>Observation</w:t>
      </w:r>
      <w:r>
        <w:rPr>
          <w:rFonts w:hint="eastAsia"/>
          <w:b/>
          <w:i/>
        </w:rPr>
        <w:t xml:space="preserve"> 2: </w:t>
      </w:r>
      <w:r>
        <w:rPr>
          <w:i/>
        </w:rPr>
        <w:t xml:space="preserve">Considering delay tolerant information for paring gNB Tx beam and UE panel, the benefit of </w:t>
      </w:r>
      <w:r>
        <w:rPr>
          <w:rFonts w:hint="eastAsia"/>
          <w:i/>
        </w:rPr>
        <w:t>Option 3 (Non-group based reporting)</w:t>
      </w:r>
      <w:r>
        <w:rPr>
          <w:i/>
        </w:rPr>
        <w:t xml:space="preserve"> enhanced solution(s) for multiple CSI reports is unclear for non-ideal backhaul, although the complexity of CSI configuration and reporting may be increased significantly due to associating reporting instances.</w:t>
      </w:r>
    </w:p>
    <w:p>
      <w:pPr>
        <w:snapToGrid w:val="0"/>
        <w:spacing w:before="120"/>
        <w:rPr>
          <w:i/>
        </w:rPr>
      </w:pPr>
      <w:r>
        <w:rPr>
          <w:rFonts w:eastAsia="微软雅黑"/>
          <w:lang w:val="en-GB"/>
        </w:rPr>
        <w:t xml:space="preserve">Consequently, we may need to further study benefits and identify </w:t>
      </w:r>
      <w:r>
        <w:rPr>
          <w:rFonts w:hint="eastAsia" w:eastAsia="微软雅黑"/>
          <w:lang w:val="en-GB"/>
        </w:rPr>
        <w:t>use</w:t>
      </w:r>
      <w:r>
        <w:rPr>
          <w:rFonts w:eastAsia="微软雅黑"/>
          <w:lang w:val="en-GB"/>
        </w:rPr>
        <w:t xml:space="preserve"> cases of Option 3 in multi-TRP operation, compared with Option 1 and Option 2.</w:t>
      </w:r>
    </w:p>
    <w:p>
      <w:pPr>
        <w:numPr>
          <w:ilvl w:val="1"/>
          <w:numId w:val="1"/>
        </w:numPr>
        <w:snapToGrid w:val="0"/>
        <w:spacing w:before="120" w:afterLines="50"/>
        <w:outlineLvl w:val="1"/>
        <w:rPr>
          <w:b/>
          <w:sz w:val="28"/>
        </w:rPr>
      </w:pPr>
      <w:r>
        <w:rPr>
          <w:rFonts w:hint="eastAsia"/>
          <w:b/>
          <w:sz w:val="28"/>
        </w:rPr>
        <w:t>Report content for Option 2</w:t>
      </w:r>
    </w:p>
    <w:p>
      <w:pPr>
        <w:spacing w:before="120"/>
      </w:pPr>
      <w:r>
        <w:t xml:space="preserve">Based on the current specification, M=2 CSI-RS and/or SSB resources can be received simultaneously by the UE either with a single spatial domain receive filter, or with multiple simultaneous spatial domain receive filters. </w:t>
      </w:r>
    </w:p>
    <w:p>
      <w:pPr>
        <w:numPr>
          <w:ilvl w:val="0"/>
          <w:numId w:val="15"/>
        </w:numPr>
        <w:spacing w:before="120"/>
      </w:pPr>
      <w:r>
        <w:t>For a single spatial domain receive filter, M=2 CSI-RS and/or SSB resources can be used for spatial diversity</w:t>
      </w:r>
      <w:r>
        <w:rPr>
          <w:rFonts w:hint="eastAsia"/>
        </w:rPr>
        <w:t xml:space="preserve">, as shown in </w:t>
      </w:r>
      <w:r>
        <w:t>F</w:t>
      </w:r>
      <w:r>
        <w:rPr>
          <w:rFonts w:hint="eastAsia"/>
        </w:rPr>
        <w:t>igure 2(a).</w:t>
      </w:r>
    </w:p>
    <w:p>
      <w:pPr>
        <w:numPr>
          <w:ilvl w:val="0"/>
          <w:numId w:val="15"/>
        </w:numPr>
        <w:spacing w:before="120"/>
        <w:rPr>
          <w:b/>
          <w:sz w:val="28"/>
        </w:rPr>
      </w:pPr>
      <w:r>
        <w:t>For multiple simultaneous spatial domain receive filter</w:t>
      </w:r>
      <w:r>
        <w:rPr>
          <w:rFonts w:hint="eastAsia"/>
        </w:rPr>
        <w:t>s</w:t>
      </w:r>
      <w:r>
        <w:t>, M=2 CSI-RS and/or SSB resources can be used for spatial multiplexing</w:t>
      </w:r>
      <w:r>
        <w:rPr>
          <w:rFonts w:hint="eastAsia"/>
        </w:rPr>
        <w:t xml:space="preserve">, as shown in </w:t>
      </w:r>
      <w:r>
        <w:t>F</w:t>
      </w:r>
      <w:r>
        <w:rPr>
          <w:rFonts w:hint="eastAsia"/>
        </w:rPr>
        <w:t>igure 2(b).</w:t>
      </w:r>
    </w:p>
    <w:p>
      <w:pPr>
        <w:numPr>
          <w:ilvl w:val="255"/>
          <w:numId w:val="0"/>
        </w:numPr>
        <w:spacing w:before="120"/>
        <w:jc w:val="center"/>
      </w:pPr>
      <w:r>
        <w:object>
          <v:shape id="_x0000_i1026" o:spt="75" alt="" type="#_x0000_t75" style="height:261.25pt;width:394.35pt;" o:ole="t" filled="f" o:preferrelative="t" stroked="f" coordsize="21600,21600">
            <v:path/>
            <v:fill on="f" focussize="0,0"/>
            <v:stroke on="f"/>
            <v:imagedata r:id="rId13" o:title=""/>
            <o:lock v:ext="edit" aspectratio="t"/>
            <w10:wrap type="none"/>
            <w10:anchorlock/>
          </v:shape>
          <o:OLEObject Type="Embed" ProgID="Visio.Drawing.11" ShapeID="_x0000_i1026" DrawAspect="Content" ObjectID="_1468075726" r:id="rId12">
            <o:LockedField>false</o:LockedField>
          </o:OLEObject>
        </w:object>
      </w:r>
    </w:p>
    <w:p>
      <w:pPr>
        <w:numPr>
          <w:ilvl w:val="255"/>
          <w:numId w:val="0"/>
        </w:numPr>
        <w:spacing w:before="120"/>
        <w:ind w:left="360"/>
        <w:jc w:val="center"/>
      </w:pPr>
      <w:r>
        <w:rPr>
          <w:rFonts w:hint="eastAsia"/>
          <w:b/>
        </w:rPr>
        <w:t xml:space="preserve">Figure </w:t>
      </w:r>
      <w:r>
        <w:rPr>
          <w:b/>
        </w:rPr>
        <w:t>2</w:t>
      </w:r>
      <w:r>
        <w:t xml:space="preserve"> Examples for simultaneous reception by the UE: (a) with a single spatial domain filter for spatial diversity; (b) with multiple spatial domain filter</w:t>
      </w:r>
      <w:r>
        <w:rPr>
          <w:rFonts w:hint="eastAsia"/>
        </w:rPr>
        <w:t>s</w:t>
      </w:r>
      <w:r>
        <w:t xml:space="preserve"> for spatial multiplexing</w:t>
      </w:r>
    </w:p>
    <w:p>
      <w:pPr>
        <w:numPr>
          <w:ilvl w:val="255"/>
          <w:numId w:val="0"/>
        </w:numPr>
        <w:spacing w:before="120"/>
      </w:pPr>
      <w:r>
        <w:rPr>
          <w:rFonts w:hint="eastAsia"/>
        </w:rPr>
        <w:t xml:space="preserve">If </w:t>
      </w:r>
      <w:r>
        <w:t xml:space="preserve">a single spatial domain receive filter is used by UE to receive M=2 CSI-RS and/or SSB resources, some restriction for subsequent data transmission need to be met. For instance, when the reception capability of the UE is up to N DL transmission layers, the total number of transmission layers from TRPs </w:t>
      </w:r>
      <w:r>
        <w:rPr>
          <w:rFonts w:hint="eastAsia"/>
        </w:rPr>
        <w:t xml:space="preserve">at </w:t>
      </w:r>
      <w:r>
        <w:t xml:space="preserve">a given </w:t>
      </w:r>
      <w:r>
        <w:rPr>
          <w:rFonts w:hint="eastAsia"/>
        </w:rPr>
        <w:t xml:space="preserve">time </w:t>
      </w:r>
      <w:r>
        <w:t>may be less  than N. Thus, to inform TRP of whether 2 resources within a group/pair can be used for spatial multiplexing or diversity is important. Based on the above analysis, additional information as follows can be considered to be reported:</w:t>
      </w:r>
    </w:p>
    <w:p>
      <w:pPr>
        <w:numPr>
          <w:ilvl w:val="0"/>
          <w:numId w:val="15"/>
        </w:numPr>
        <w:spacing w:before="120"/>
        <w:ind w:left="363" w:hanging="363"/>
      </w:pPr>
      <w:r>
        <w:rPr>
          <w:rFonts w:hint="eastAsia"/>
        </w:rPr>
        <w:t xml:space="preserve">UE </w:t>
      </w:r>
      <w:r>
        <w:t xml:space="preserve">Rx </w:t>
      </w:r>
      <w:r>
        <w:rPr>
          <w:rFonts w:hint="eastAsia"/>
        </w:rPr>
        <w:t>Panel ID</w:t>
      </w:r>
      <w:r>
        <w:t xml:space="preserve"> </w:t>
      </w:r>
    </w:p>
    <w:p>
      <w:pPr>
        <w:pStyle w:val="45"/>
        <w:numPr>
          <w:ilvl w:val="1"/>
          <w:numId w:val="14"/>
        </w:numPr>
        <w:overflowPunct w:val="0"/>
        <w:autoSpaceDE w:val="0"/>
        <w:autoSpaceDN w:val="0"/>
        <w:adjustRightInd w:val="0"/>
        <w:spacing w:before="120" w:after="120"/>
        <w:textAlignment w:val="baseline"/>
      </w:pPr>
      <w:r>
        <w:rPr>
          <w:lang w:val="en-US"/>
        </w:rPr>
        <w:t>For instance, w</w:t>
      </w:r>
      <w:r>
        <w:rPr>
          <w:rFonts w:hint="eastAsia"/>
          <w:lang w:val="en-US"/>
        </w:rPr>
        <w:t xml:space="preserve">hen the same Panel ID is reported </w:t>
      </w:r>
      <w:r>
        <w:rPr>
          <w:lang w:val="en-US"/>
        </w:rPr>
        <w:t xml:space="preserve">for each SSBRI/CRI </w:t>
      </w:r>
      <w:r>
        <w:rPr>
          <w:rFonts w:hint="eastAsia" w:eastAsia="宋体"/>
          <w:lang w:val="en-US"/>
        </w:rPr>
        <w:t>in a group</w:t>
      </w:r>
      <w:r>
        <w:rPr>
          <w:rFonts w:hint="eastAsia"/>
          <w:lang w:val="en-US"/>
        </w:rPr>
        <w:t xml:space="preserve">/pair, 2 </w:t>
      </w:r>
      <w:r>
        <w:rPr>
          <w:lang w:val="en-US"/>
        </w:rPr>
        <w:t xml:space="preserve">Tx beams corresponding to the </w:t>
      </w:r>
      <w:r>
        <w:rPr>
          <w:rFonts w:hint="eastAsia"/>
          <w:lang w:val="en-US"/>
        </w:rPr>
        <w:t xml:space="preserve">group/pair </w:t>
      </w:r>
      <w:r>
        <w:rPr>
          <w:lang w:val="en-US"/>
        </w:rPr>
        <w:t>just can</w:t>
      </w:r>
      <w:r>
        <w:rPr>
          <w:rFonts w:hint="eastAsia"/>
          <w:lang w:val="en-US"/>
        </w:rPr>
        <w:t xml:space="preserve"> be used for </w:t>
      </w:r>
      <w:r>
        <w:t>spatial diversity</w:t>
      </w:r>
      <w:r>
        <w:rPr>
          <w:rFonts w:hint="eastAsia"/>
          <w:lang w:val="en-US"/>
        </w:rPr>
        <w:t>.</w:t>
      </w:r>
    </w:p>
    <w:p>
      <w:pPr>
        <w:numPr>
          <w:ilvl w:val="0"/>
          <w:numId w:val="15"/>
        </w:numPr>
        <w:spacing w:before="120"/>
        <w:ind w:left="363" w:hanging="363"/>
      </w:pPr>
      <w:r>
        <w:t xml:space="preserve">Maximum number of DL </w:t>
      </w:r>
      <w:r>
        <w:rPr>
          <w:rFonts w:hint="eastAsia"/>
        </w:rPr>
        <w:t>transmission</w:t>
      </w:r>
      <w:r>
        <w:t xml:space="preserve"> layers</w:t>
      </w:r>
    </w:p>
    <w:p>
      <w:pPr>
        <w:pStyle w:val="45"/>
        <w:numPr>
          <w:ilvl w:val="1"/>
          <w:numId w:val="14"/>
        </w:numPr>
        <w:overflowPunct w:val="0"/>
        <w:autoSpaceDE w:val="0"/>
        <w:autoSpaceDN w:val="0"/>
        <w:adjustRightInd w:val="0"/>
        <w:spacing w:before="120" w:after="120"/>
        <w:textAlignment w:val="baseline"/>
      </w:pPr>
      <w:r>
        <w:t xml:space="preserve">For instance, </w:t>
      </w:r>
      <w:r>
        <w:rPr>
          <w:rFonts w:hint="eastAsia"/>
        </w:rPr>
        <w:t xml:space="preserve">UE can report </w:t>
      </w:r>
      <w:r>
        <w:t xml:space="preserve">the maximum number of </w:t>
      </w:r>
      <w:r>
        <w:rPr>
          <w:rFonts w:hint="eastAsia"/>
        </w:rPr>
        <w:t>transmission</w:t>
      </w:r>
      <w:r>
        <w:t xml:space="preserve"> layers</w:t>
      </w:r>
      <w:r>
        <w:rPr>
          <w:rFonts w:hint="eastAsia"/>
        </w:rPr>
        <w:t xml:space="preserve"> along with each CRI/SSBRI (</w:t>
      </w:r>
      <w:r>
        <w:t xml:space="preserve">e.g., to </w:t>
      </w:r>
      <w:r>
        <w:rPr>
          <w:rFonts w:hint="eastAsia"/>
        </w:rPr>
        <w:t>limit transmission layers for each TRP)</w:t>
      </w:r>
      <w:r>
        <w:t xml:space="preserve">, or the maximum number of </w:t>
      </w:r>
      <w:r>
        <w:rPr>
          <w:rFonts w:hint="eastAsia"/>
        </w:rPr>
        <w:t>transmission</w:t>
      </w:r>
      <w:r>
        <w:t xml:space="preserve"> layers</w:t>
      </w:r>
      <w:r>
        <w:rPr>
          <w:rFonts w:hint="eastAsia"/>
        </w:rPr>
        <w:t xml:space="preserve"> along with each group (</w:t>
      </w:r>
      <w:r>
        <w:t xml:space="preserve">e.g., to </w:t>
      </w:r>
      <w:r>
        <w:rPr>
          <w:rFonts w:hint="eastAsia"/>
        </w:rPr>
        <w:t>limit total transmission layers for all TRPs).</w:t>
      </w:r>
    </w:p>
    <w:p>
      <w:pPr>
        <w:numPr>
          <w:ilvl w:val="0"/>
          <w:numId w:val="15"/>
        </w:numPr>
        <w:spacing w:before="120"/>
        <w:ind w:left="363" w:hanging="363"/>
      </w:pPr>
      <w:r>
        <w:rPr>
          <w:rFonts w:hint="eastAsia"/>
        </w:rPr>
        <w:t xml:space="preserve">A flag for </w:t>
      </w:r>
      <w:r>
        <w:t xml:space="preserve">whether </w:t>
      </w:r>
      <w:r>
        <w:rPr>
          <w:rFonts w:hint="eastAsia"/>
        </w:rPr>
        <w:t>2 resources within a group/pair can be used for spatial multiplexing or diversity</w:t>
      </w:r>
    </w:p>
    <w:p>
      <w:pPr>
        <w:numPr>
          <w:ilvl w:val="255"/>
          <w:numId w:val="0"/>
        </w:numPr>
        <w:overflowPunct w:val="0"/>
        <w:autoSpaceDE w:val="0"/>
        <w:autoSpaceDN w:val="0"/>
        <w:adjustRightInd w:val="0"/>
        <w:spacing w:before="120"/>
        <w:textAlignment w:val="baseline"/>
      </w:pPr>
      <w:r>
        <w:rPr>
          <w:rFonts w:hint="eastAsia"/>
        </w:rPr>
        <w:t xml:space="preserve">In addition, considering that although a UE has multiple panels, only one UL panel can be </w:t>
      </w:r>
      <w:r>
        <w:t>active</w:t>
      </w:r>
      <w:r>
        <w:rPr>
          <w:rFonts w:hint="eastAsia"/>
        </w:rPr>
        <w:t xml:space="preserve"> for UL transmission. So, for Option 2 (beam group based reporting), 2 resources can be reported in one group, we also need </w:t>
      </w:r>
      <w:r>
        <w:t xml:space="preserve">to further </w:t>
      </w:r>
      <w:r>
        <w:rPr>
          <w:rFonts w:hint="eastAsia"/>
        </w:rPr>
        <w:t>indicate which RS can be used for UL transmission.</w:t>
      </w:r>
    </w:p>
    <w:p>
      <w:pPr>
        <w:numPr>
          <w:ilvl w:val="255"/>
          <w:numId w:val="0"/>
        </w:numPr>
        <w:overflowPunct w:val="0"/>
        <w:autoSpaceDE w:val="0"/>
        <w:autoSpaceDN w:val="0"/>
        <w:adjustRightInd w:val="0"/>
        <w:spacing w:before="120"/>
        <w:textAlignment w:val="baseline"/>
        <w:rPr>
          <w:i/>
          <w:iCs/>
        </w:rPr>
      </w:pPr>
      <w:r>
        <w:rPr>
          <w:b/>
          <w:i/>
        </w:rPr>
        <w:t xml:space="preserve">Proposal </w:t>
      </w:r>
      <w:r>
        <w:rPr>
          <w:rFonts w:hint="eastAsia"/>
          <w:b/>
          <w:i/>
        </w:rPr>
        <w:t>4</w:t>
      </w:r>
      <w:r>
        <w:rPr>
          <w:b/>
          <w:i/>
        </w:rPr>
        <w:t xml:space="preserve">: </w:t>
      </w:r>
      <w:r>
        <w:rPr>
          <w:rFonts w:hint="eastAsia"/>
          <w:i/>
        </w:rPr>
        <w:t xml:space="preserve"> </w:t>
      </w:r>
      <w:r>
        <w:rPr>
          <w:i/>
          <w:iCs/>
        </w:rPr>
        <w:t xml:space="preserve">Along with </w:t>
      </w:r>
      <w:r>
        <w:rPr>
          <w:i/>
        </w:rPr>
        <w:t>CRI</w:t>
      </w:r>
      <w:r>
        <w:rPr>
          <w:i/>
          <w:iCs/>
        </w:rPr>
        <w:t>/SSBRI report, a</w:t>
      </w:r>
      <w:r>
        <w:rPr>
          <w:i/>
        </w:rPr>
        <w:t xml:space="preserve">dditional </w:t>
      </w:r>
      <w:r>
        <w:rPr>
          <w:i/>
          <w:iCs/>
        </w:rPr>
        <w:t xml:space="preserve">information for </w:t>
      </w:r>
      <w:r>
        <w:rPr>
          <w:rFonts w:hint="eastAsia"/>
          <w:i/>
          <w:iCs/>
        </w:rPr>
        <w:t>Option</w:t>
      </w:r>
      <w:r>
        <w:rPr>
          <w:i/>
          <w:iCs/>
        </w:rPr>
        <w:t xml:space="preserve"> </w:t>
      </w:r>
      <w:r>
        <w:rPr>
          <w:rFonts w:hint="eastAsia"/>
          <w:i/>
          <w:iCs/>
        </w:rPr>
        <w:t>2 (beam group based reporting)</w:t>
      </w:r>
      <w:r>
        <w:rPr>
          <w:i/>
          <w:iCs/>
        </w:rPr>
        <w:t xml:space="preserve"> </w:t>
      </w:r>
      <w:r>
        <w:rPr>
          <w:rFonts w:hint="eastAsia"/>
          <w:i/>
          <w:iCs/>
        </w:rPr>
        <w:t xml:space="preserve">should be </w:t>
      </w:r>
      <w:r>
        <w:rPr>
          <w:i/>
          <w:iCs/>
        </w:rPr>
        <w:t>considered for facilitating CSI measurement and subsequent DL/UL transmission.</w:t>
      </w:r>
    </w:p>
    <w:p>
      <w:pPr>
        <w:numPr>
          <w:ilvl w:val="0"/>
          <w:numId w:val="9"/>
        </w:numPr>
        <w:spacing w:before="120" w:after="0"/>
        <w:rPr>
          <w:i/>
          <w:iCs/>
        </w:rPr>
      </w:pPr>
      <w:r>
        <w:rPr>
          <w:i/>
          <w:iCs/>
        </w:rPr>
        <w:t>UE can further indicate whether two beams within a group/pair can be used for spatial multiplexing or diversity</w:t>
      </w:r>
    </w:p>
    <w:p>
      <w:pPr>
        <w:numPr>
          <w:ilvl w:val="1"/>
          <w:numId w:val="9"/>
        </w:numPr>
        <w:spacing w:before="120" w:after="0"/>
        <w:rPr>
          <w:i/>
          <w:iCs/>
        </w:rPr>
      </w:pPr>
      <w:r>
        <w:rPr>
          <w:i/>
          <w:iCs/>
        </w:rPr>
        <w:t>If being indicated for spatial diversity, the total number of transmission layers by using the two beams should be limited, e.g., up to additional UE capability reporting.</w:t>
      </w:r>
    </w:p>
    <w:p>
      <w:pPr>
        <w:numPr>
          <w:ilvl w:val="0"/>
          <w:numId w:val="9"/>
        </w:numPr>
        <w:spacing w:before="120" w:after="0"/>
        <w:rPr>
          <w:i/>
          <w:iCs/>
        </w:rPr>
      </w:pPr>
      <w:r>
        <w:rPr>
          <w:i/>
          <w:iCs/>
        </w:rPr>
        <w:t>UE can further indicate which RS can be used for UL transmission considering that only one UL panel can be active for UL transmission.</w:t>
      </w:r>
    </w:p>
    <w:p>
      <w:pPr>
        <w:numPr>
          <w:ilvl w:val="255"/>
          <w:numId w:val="0"/>
        </w:numPr>
        <w:spacing w:before="120"/>
      </w:pPr>
      <w:r>
        <w:t xml:space="preserve">In the current specification, </w:t>
      </w:r>
      <w:r>
        <w:rPr>
          <w:rFonts w:hint="eastAsia"/>
        </w:rPr>
        <w:t>d</w:t>
      </w:r>
      <w:r>
        <w:t xml:space="preserve">ifferential L1-RSRP reporting is </w:t>
      </w:r>
      <w:r>
        <w:rPr>
          <w:rFonts w:hint="eastAsia"/>
        </w:rPr>
        <w:t>used</w:t>
      </w:r>
      <w:r>
        <w:t xml:space="preserve"> in Rel-15/16</w:t>
      </w:r>
      <w:r>
        <w:rPr>
          <w:rFonts w:hint="eastAsia"/>
        </w:rPr>
        <w:t xml:space="preserve">, and the differential L1-RSRP </w:t>
      </w:r>
      <w:r>
        <w:rPr>
          <w:color w:val="000000"/>
        </w:rPr>
        <w:t>is computed with 2 dB step size with a reference to the largest measured L1-RSRP value</w:t>
      </w:r>
      <w:r>
        <w:rPr>
          <w:rFonts w:hint="eastAsia"/>
        </w:rPr>
        <w:t xml:space="preserve"> which is </w:t>
      </w:r>
      <w:r>
        <w:t>within</w:t>
      </w:r>
      <w:r>
        <w:rPr>
          <w:rFonts w:hint="eastAsia"/>
        </w:rPr>
        <w:t xml:space="preserve"> the same L1-RSRP reporting instance. Because the </w:t>
      </w:r>
      <w:r>
        <w:rPr>
          <w:rFonts w:hint="eastAsia" w:eastAsia="微软雅黑"/>
        </w:rPr>
        <w:t>beam group based reporting</w:t>
      </w:r>
      <w:r>
        <w:rPr>
          <w:rFonts w:hint="eastAsia"/>
        </w:rPr>
        <w:t xml:space="preserve"> has been agr</w:t>
      </w:r>
      <w:r>
        <w:t xml:space="preserve">eed, differential L1-RSRP reporting should be enhanced </w:t>
      </w:r>
      <w:r>
        <w:rPr>
          <w:rFonts w:hint="eastAsia"/>
        </w:rPr>
        <w:t>for each group</w:t>
      </w:r>
      <w:r>
        <w:t>.</w:t>
      </w:r>
    </w:p>
    <w:p>
      <w:pPr>
        <w:numPr>
          <w:ilvl w:val="255"/>
          <w:numId w:val="0"/>
        </w:numPr>
        <w:spacing w:before="120"/>
        <w:rPr>
          <w:iCs/>
        </w:rPr>
      </w:pPr>
      <w:r>
        <w:rPr>
          <w:iCs/>
        </w:rPr>
        <w:t xml:space="preserve">For each of group, </w:t>
      </w:r>
      <w:r>
        <w:rPr>
          <w:rFonts w:hint="eastAsia"/>
        </w:rPr>
        <w:t xml:space="preserve">the largest </w:t>
      </w:r>
      <w:r>
        <w:rPr>
          <w:iCs/>
        </w:rPr>
        <w:t>L1-RSRP</w:t>
      </w:r>
      <w:r>
        <w:rPr>
          <w:rFonts w:hint="eastAsia"/>
          <w:iCs/>
        </w:rPr>
        <w:t xml:space="preserve"> should be</w:t>
      </w:r>
      <w:r>
        <w:rPr>
          <w:iCs/>
        </w:rPr>
        <w:t xml:space="preserve"> reported</w:t>
      </w:r>
      <w:r>
        <w:rPr>
          <w:rFonts w:hint="eastAsia"/>
          <w:iCs/>
        </w:rPr>
        <w:t xml:space="preserve"> </w:t>
      </w:r>
      <w:r>
        <w:rPr>
          <w:iCs/>
        </w:rPr>
        <w:t>for the first CRI/SSBRI by absolute value, and the other is reported by differential one.</w:t>
      </w:r>
      <w:r>
        <w:rPr>
          <w:rFonts w:hint="eastAsia"/>
          <w:iCs/>
        </w:rPr>
        <w:t xml:space="preserve"> </w:t>
      </w:r>
      <w:r>
        <w:rPr>
          <w:iCs/>
        </w:rPr>
        <w:t xml:space="preserve">Then, in the group, </w:t>
      </w:r>
      <w:r>
        <w:rPr>
          <w:rFonts w:hint="eastAsia"/>
          <w:iCs/>
        </w:rPr>
        <w:t>t</w:t>
      </w:r>
      <w:r>
        <w:rPr>
          <w:iCs/>
        </w:rPr>
        <w:t xml:space="preserve">o distinguish </w:t>
      </w:r>
      <w:r>
        <w:rPr>
          <w:rFonts w:hint="eastAsia"/>
          <w:iCs/>
        </w:rPr>
        <w:t>RS resource</w:t>
      </w:r>
      <w:r>
        <w:rPr>
          <w:iCs/>
        </w:rPr>
        <w:t xml:space="preserve"> from different TRPs,</w:t>
      </w:r>
      <w:r>
        <w:rPr>
          <w:rFonts w:hint="eastAsia"/>
          <w:iCs/>
        </w:rPr>
        <w:t xml:space="preserve"> </w:t>
      </w:r>
      <w:r>
        <w:rPr>
          <w:iCs/>
        </w:rPr>
        <w:t xml:space="preserve">the RS resource set ID </w:t>
      </w:r>
      <w:r>
        <w:rPr>
          <w:rFonts w:hint="eastAsia"/>
          <w:iCs/>
        </w:rPr>
        <w:t>should be</w:t>
      </w:r>
      <w:r>
        <w:rPr>
          <w:iCs/>
        </w:rPr>
        <w:t xml:space="preserve"> additionally reported for the first CRI/SSBRI. Then, gNB can be aware that the second CRI/SSBRI in a group corresponds to another RS resource set, based on the agreed rule of ‘</w:t>
      </w:r>
      <w:r>
        <w:rPr>
          <w:rFonts w:eastAsia="DengXian" w:cs="Times"/>
          <w:bCs/>
          <w:iCs/>
          <w:kern w:val="32"/>
          <w:szCs w:val="22"/>
        </w:rPr>
        <w:t>each SSBRI/CRI points to a CMR resource in a different CMR resource set or subset</w:t>
      </w:r>
      <w:r>
        <w:rPr>
          <w:iCs/>
        </w:rPr>
        <w:t xml:space="preserve">’. </w:t>
      </w:r>
    </w:p>
    <w:p>
      <w:pPr>
        <w:pStyle w:val="113"/>
        <w:numPr>
          <w:ilvl w:val="0"/>
          <w:numId w:val="9"/>
        </w:numPr>
        <w:overflowPunct w:val="0"/>
        <w:autoSpaceDE w:val="0"/>
        <w:autoSpaceDN w:val="0"/>
        <w:adjustRightInd w:val="0"/>
        <w:spacing w:before="120" w:beforeLines="0" w:after="100" w:afterAutospacing="1"/>
        <w:ind w:left="363" w:hanging="363" w:firstLineChars="0"/>
        <w:textAlignment w:val="baseline"/>
      </w:pPr>
      <w:r>
        <w:rPr>
          <w:iCs/>
        </w:rPr>
        <w:t xml:space="preserve">Note that in RAN1#105, it has been agreed </w:t>
      </w:r>
      <w:r>
        <w:rPr>
          <w:rFonts w:hint="eastAsia"/>
          <w:iCs/>
        </w:rPr>
        <w:t>t</w:t>
      </w:r>
      <w:r>
        <w:rPr>
          <w:iCs/>
        </w:rPr>
        <w:t>he bitwidth of each SSBRI/CRI is determined based on the number of SSB/CSI-RS resources associated with the same TRP.</w:t>
      </w:r>
    </w:p>
    <w:p>
      <w:pPr>
        <w:numPr>
          <w:ilvl w:val="255"/>
          <w:numId w:val="0"/>
        </w:numPr>
        <w:overflowPunct w:val="0"/>
        <w:autoSpaceDE w:val="0"/>
        <w:autoSpaceDN w:val="0"/>
        <w:adjustRightInd w:val="0"/>
        <w:spacing w:before="120"/>
        <w:textAlignment w:val="baseline"/>
        <w:rPr>
          <w:i/>
          <w:iCs/>
        </w:rPr>
      </w:pPr>
      <w:r>
        <w:rPr>
          <w:b/>
          <w:i/>
        </w:rPr>
        <w:t xml:space="preserve">Proposal </w:t>
      </w:r>
      <w:r>
        <w:rPr>
          <w:rFonts w:hint="eastAsia"/>
          <w:b/>
          <w:i/>
        </w:rPr>
        <w:t>5</w:t>
      </w:r>
      <w:r>
        <w:rPr>
          <w:b/>
          <w:i/>
        </w:rPr>
        <w:t xml:space="preserve">: </w:t>
      </w:r>
      <w:r>
        <w:rPr>
          <w:rFonts w:hint="eastAsia"/>
          <w:i/>
        </w:rPr>
        <w:t xml:space="preserve"> </w:t>
      </w:r>
      <w:r>
        <w:rPr>
          <w:i/>
        </w:rPr>
        <w:t xml:space="preserve">For the enhanced group based reporting, </w:t>
      </w:r>
      <w:r>
        <w:rPr>
          <w:i/>
          <w:iCs/>
        </w:rPr>
        <w:t>differential L1-RSRP reporting is supported similarly as in Rel-15/16:</w:t>
      </w:r>
    </w:p>
    <w:p>
      <w:pPr>
        <w:numPr>
          <w:ilvl w:val="0"/>
          <w:numId w:val="9"/>
        </w:numPr>
        <w:spacing w:before="120" w:after="0"/>
        <w:rPr>
          <w:i/>
        </w:rPr>
      </w:pPr>
      <w:r>
        <w:rPr>
          <w:i/>
        </w:rPr>
        <w:t xml:space="preserve">For each group, </w:t>
      </w:r>
      <w:r>
        <w:rPr>
          <w:rFonts w:hint="eastAsia"/>
          <w:i/>
        </w:rPr>
        <w:t>t</w:t>
      </w:r>
      <w:r>
        <w:rPr>
          <w:i/>
        </w:rPr>
        <w:t xml:space="preserve">he largest L1-RSRP </w:t>
      </w:r>
      <w:r>
        <w:rPr>
          <w:rFonts w:hint="eastAsia"/>
          <w:i/>
        </w:rPr>
        <w:t>should be</w:t>
      </w:r>
      <w:r>
        <w:rPr>
          <w:i/>
        </w:rPr>
        <w:t xml:space="preserve"> reported</w:t>
      </w:r>
      <w:r>
        <w:rPr>
          <w:rFonts w:hint="eastAsia"/>
          <w:i/>
        </w:rPr>
        <w:t xml:space="preserve"> </w:t>
      </w:r>
      <w:r>
        <w:rPr>
          <w:i/>
        </w:rPr>
        <w:t xml:space="preserve">for the first CRI/SSBRI by absolute value, and the other is reported by a </w:t>
      </w:r>
      <w:r>
        <w:rPr>
          <w:i/>
          <w:iCs/>
        </w:rPr>
        <w:t>differential</w:t>
      </w:r>
      <w:r>
        <w:rPr>
          <w:i/>
        </w:rPr>
        <w:t xml:space="preserve"> one.</w:t>
      </w:r>
    </w:p>
    <w:p>
      <w:pPr>
        <w:numPr>
          <w:ilvl w:val="0"/>
          <w:numId w:val="9"/>
        </w:numPr>
        <w:spacing w:before="120" w:after="0"/>
        <w:rPr>
          <w:i/>
          <w:iCs/>
        </w:rPr>
      </w:pPr>
      <w:r>
        <w:rPr>
          <w:i/>
          <w:iCs/>
        </w:rPr>
        <w:t>Then, in the group, the RS resource set ID is additionally reported for the first CRI/SSBRI.</w:t>
      </w:r>
    </w:p>
    <w:p>
      <w:pPr>
        <w:numPr>
          <w:ilvl w:val="1"/>
          <w:numId w:val="1"/>
        </w:numPr>
        <w:tabs>
          <w:tab w:val="clear" w:pos="576"/>
        </w:tabs>
        <w:snapToGrid w:val="0"/>
        <w:spacing w:before="120" w:afterLines="50"/>
        <w:ind w:left="567" w:hanging="567"/>
        <w:outlineLvl w:val="1"/>
        <w:rPr>
          <w:b/>
          <w:sz w:val="28"/>
        </w:rPr>
      </w:pPr>
      <w:r>
        <w:rPr>
          <w:b/>
          <w:sz w:val="28"/>
        </w:rPr>
        <w:t>CSI framework for multi-TRP based beam measurement</w:t>
      </w:r>
    </w:p>
    <w:p>
      <w:pPr>
        <w:overflowPunct w:val="0"/>
        <w:autoSpaceDE w:val="0"/>
        <w:autoSpaceDN w:val="0"/>
        <w:adjustRightInd w:val="0"/>
        <w:spacing w:before="120"/>
        <w:textAlignment w:val="baseline"/>
        <w:rPr>
          <w:rFonts w:eastAsia="微软雅黑"/>
          <w:lang w:val="en-GB"/>
        </w:rPr>
      </w:pPr>
      <w:r>
        <w:t>Information on simultaneous transmission capability from each of TRP can be indicated for the assist of DL beam determination in UE reporting and for facilitating inter-TRP beam pairing. In general, according to the discussion in RAN1</w:t>
      </w:r>
      <w:r>
        <w:rPr>
          <w:rFonts w:hint="eastAsia"/>
        </w:rPr>
        <w:t>#105-e</w:t>
      </w:r>
      <w:r>
        <w:t xml:space="preserve">, </w:t>
      </w:r>
      <w:r>
        <w:rPr>
          <w:rFonts w:eastAsia="微软雅黑"/>
          <w:lang w:val="en-GB"/>
        </w:rPr>
        <w:t xml:space="preserve">the following agreement on </w:t>
      </w:r>
      <w:r>
        <w:t>CMR resource configuration</w:t>
      </w:r>
      <w:r>
        <w:rPr>
          <w:rFonts w:eastAsia="微软雅黑"/>
          <w:lang w:val="en-GB"/>
        </w:rPr>
        <w:t xml:space="preserve"> </w:t>
      </w:r>
      <w:r>
        <w:rPr>
          <w:rFonts w:hint="eastAsia" w:eastAsia="微软雅黑"/>
        </w:rPr>
        <w:t xml:space="preserve">for Option 2 (beam group based reporting) </w:t>
      </w:r>
      <w:r>
        <w:rPr>
          <w:rFonts w:eastAsia="微软雅黑"/>
        </w:rPr>
        <w:t>has been reached</w:t>
      </w:r>
      <w:r>
        <w:rPr>
          <w:rFonts w:eastAsia="微软雅黑"/>
          <w:lang w:val="en-GB"/>
        </w:rPr>
        <w:t xml:space="preserve">.  </w:t>
      </w:r>
    </w:p>
    <w:tbl>
      <w:tblPr>
        <w:tblStyle w:val="24"/>
        <w:tblW w:w="94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numPr>
                <w:ilvl w:val="255"/>
                <w:numId w:val="0"/>
              </w:numPr>
              <w:spacing w:before="0" w:beforeLines="0" w:after="0" w:line="240" w:lineRule="auto"/>
              <w:rPr>
                <w:b/>
                <w:u w:val="single"/>
              </w:rPr>
            </w:pPr>
            <w:r>
              <w:rPr>
                <w:rFonts w:hint="eastAsia"/>
                <w:b/>
                <w:u w:val="single"/>
              </w:rPr>
              <w:t>A</w:t>
            </w:r>
            <w:r>
              <w:rPr>
                <w:b/>
                <w:u w:val="single"/>
              </w:rPr>
              <w:t>greement</w:t>
            </w:r>
          </w:p>
          <w:p>
            <w:pPr>
              <w:pStyle w:val="113"/>
              <w:snapToGrid w:val="0"/>
              <w:spacing w:before="120"/>
              <w:ind w:firstLine="0" w:firstLineChars="0"/>
              <w:contextualSpacing/>
              <w:rPr>
                <w:rFonts w:cs="Times"/>
              </w:rPr>
            </w:pPr>
            <w:r>
              <w:rPr>
                <w:rFonts w:cs="Times"/>
              </w:rPr>
              <w:t xml:space="preserve">For CMR configuration for option 2, adopt  </w:t>
            </w:r>
          </w:p>
          <w:p>
            <w:pPr>
              <w:pStyle w:val="113"/>
              <w:numPr>
                <w:ilvl w:val="0"/>
                <w:numId w:val="12"/>
              </w:numPr>
              <w:snapToGrid w:val="0"/>
              <w:spacing w:before="120"/>
              <w:ind w:firstLineChars="0"/>
              <w:contextualSpacing/>
              <w:rPr>
                <w:rFonts w:cs="Times"/>
              </w:rPr>
            </w:pPr>
            <w:r>
              <w:rPr>
                <w:rFonts w:cs="Times"/>
              </w:rPr>
              <w:t>Alt-1: “set”</w:t>
            </w:r>
          </w:p>
          <w:p>
            <w:pPr>
              <w:pStyle w:val="45"/>
              <w:numPr>
                <w:ilvl w:val="255"/>
                <w:numId w:val="0"/>
              </w:numPr>
              <w:snapToGrid w:val="0"/>
              <w:spacing w:before="0" w:beforeLines="0" w:after="0" w:line="240" w:lineRule="auto"/>
              <w:rPr>
                <w:rFonts w:cs="Times"/>
                <w:sz w:val="2"/>
                <w:szCs w:val="2"/>
              </w:rPr>
            </w:pPr>
          </w:p>
        </w:tc>
      </w:tr>
    </w:tbl>
    <w:p>
      <w:pPr>
        <w:overflowPunct w:val="0"/>
        <w:autoSpaceDE w:val="0"/>
        <w:autoSpaceDN w:val="0"/>
        <w:adjustRightInd w:val="0"/>
        <w:spacing w:before="120"/>
        <w:textAlignment w:val="baseline"/>
      </w:pPr>
      <w:r>
        <w:t>Besides, for Option 2 beam group based reporting, periodic and semi-persistent beam reporting ha</w:t>
      </w:r>
      <w:r>
        <w:rPr>
          <w:rFonts w:hint="eastAsia"/>
        </w:rPr>
        <w:t>ve</w:t>
      </w:r>
      <w:r>
        <w:t xml:space="preserve"> been supported, but aperiodic beam reporting is still FFS. For saving RS overhead and latency (e.g., for P2), aperiodic beam measurement and reporting should be supported in our views.</w:t>
      </w:r>
    </w:p>
    <w:tbl>
      <w:tblPr>
        <w:tblStyle w:val="24"/>
        <w:tblW w:w="94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44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numPr>
                <w:ilvl w:val="255"/>
                <w:numId w:val="0"/>
              </w:numPr>
              <w:spacing w:before="0" w:beforeLines="0" w:after="0" w:line="240" w:lineRule="auto"/>
              <w:rPr>
                <w:b/>
                <w:u w:val="single"/>
              </w:rPr>
            </w:pPr>
            <w:r>
              <w:rPr>
                <w:rFonts w:hint="eastAsia"/>
                <w:b/>
                <w:u w:val="single"/>
              </w:rPr>
              <w:t>A</w:t>
            </w:r>
            <w:r>
              <w:rPr>
                <w:b/>
                <w:u w:val="single"/>
              </w:rPr>
              <w:t>greement</w:t>
            </w:r>
          </w:p>
          <w:p>
            <w:pPr>
              <w:pStyle w:val="113"/>
              <w:snapToGrid w:val="0"/>
              <w:spacing w:before="120" w:after="0"/>
              <w:ind w:firstLine="0" w:firstLineChars="0"/>
            </w:pPr>
            <w:r>
              <w:t xml:space="preserve">On CMR resource configuration for beam reporting option 2, adopt the following alternative: </w:t>
            </w:r>
          </w:p>
          <w:p>
            <w:pPr>
              <w:numPr>
                <w:ilvl w:val="0"/>
                <w:numId w:val="16"/>
              </w:numPr>
              <w:snapToGrid w:val="0"/>
              <w:spacing w:beforeLines="0" w:after="0" w:line="240" w:lineRule="auto"/>
              <w:jc w:val="left"/>
              <w:rPr>
                <w:rFonts w:eastAsia="DengXian" w:cs="Times"/>
                <w:bCs/>
                <w:iCs/>
                <w:kern w:val="32"/>
                <w:szCs w:val="22"/>
              </w:rPr>
            </w:pPr>
            <w:r>
              <w:rPr>
                <w:rFonts w:eastAsia="DengXian" w:cs="Times"/>
                <w:bCs/>
                <w:iCs/>
                <w:kern w:val="32"/>
                <w:szCs w:val="22"/>
              </w:rPr>
              <w:t>Two CMR resource sets or subsets, per periodic/semi-persistent CMR resource setting</w:t>
            </w:r>
          </w:p>
          <w:p>
            <w:pPr>
              <w:numPr>
                <w:ilvl w:val="1"/>
                <w:numId w:val="16"/>
              </w:numPr>
              <w:snapToGrid w:val="0"/>
              <w:spacing w:beforeLines="0" w:after="0" w:line="240" w:lineRule="auto"/>
              <w:jc w:val="left"/>
              <w:rPr>
                <w:rFonts w:eastAsia="DengXian" w:cs="Times"/>
                <w:bCs/>
                <w:iCs/>
                <w:kern w:val="32"/>
                <w:szCs w:val="22"/>
              </w:rPr>
            </w:pPr>
            <w:r>
              <w:rPr>
                <w:rFonts w:eastAsia="DengXian" w:cs="Times"/>
                <w:bCs/>
                <w:iCs/>
                <w:kern w:val="32"/>
                <w:szCs w:val="22"/>
              </w:rPr>
              <w:t xml:space="preserve">FFS: extension to aperiodic CMR resource setting </w:t>
            </w:r>
          </w:p>
          <w:p>
            <w:pPr>
              <w:numPr>
                <w:ilvl w:val="0"/>
                <w:numId w:val="16"/>
              </w:numPr>
              <w:snapToGrid w:val="0"/>
              <w:spacing w:beforeLines="0" w:after="0" w:line="240" w:lineRule="auto"/>
              <w:jc w:val="left"/>
              <w:rPr>
                <w:rFonts w:eastAsia="DengXian" w:cs="Times"/>
                <w:bCs/>
                <w:iCs/>
                <w:kern w:val="32"/>
                <w:szCs w:val="22"/>
              </w:rPr>
            </w:pPr>
            <w:r>
              <w:rPr>
                <w:rFonts w:eastAsia="DengXian" w:cs="Times"/>
                <w:bCs/>
                <w:iCs/>
                <w:kern w:val="32"/>
                <w:szCs w:val="22"/>
              </w:rPr>
              <w:t>Each reported beam pair in a single CSI-report consists of M = 2 SSB-RI / CRI values, where each SSB-RI / CRI points to a CMR resource in a different CMR resource set or subset.</w:t>
            </w:r>
          </w:p>
          <w:p>
            <w:pPr>
              <w:numPr>
                <w:ilvl w:val="0"/>
                <w:numId w:val="16"/>
              </w:numPr>
              <w:snapToGrid w:val="0"/>
              <w:spacing w:beforeLines="0" w:line="240" w:lineRule="auto"/>
              <w:ind w:left="714" w:hanging="357"/>
              <w:jc w:val="left"/>
              <w:rPr>
                <w:rFonts w:eastAsia="DengXian" w:cs="Times"/>
                <w:bCs/>
                <w:iCs/>
                <w:kern w:val="32"/>
                <w:szCs w:val="22"/>
              </w:rPr>
            </w:pPr>
            <w:r>
              <w:rPr>
                <w:rFonts w:eastAsia="DengXian" w:cs="Times"/>
                <w:bCs/>
                <w:iCs/>
                <w:kern w:val="32"/>
                <w:szCs w:val="22"/>
              </w:rPr>
              <w:t xml:space="preserve">Decide in RAN1#104b-e whether to adopt “set” or “subset” in the above. </w:t>
            </w:r>
          </w:p>
          <w:p>
            <w:pPr>
              <w:pStyle w:val="45"/>
              <w:numPr>
                <w:ilvl w:val="255"/>
                <w:numId w:val="0"/>
              </w:numPr>
              <w:snapToGrid w:val="0"/>
              <w:spacing w:before="0" w:beforeLines="0" w:after="0" w:line="240" w:lineRule="auto"/>
              <w:rPr>
                <w:rFonts w:cs="Times"/>
                <w:sz w:val="2"/>
                <w:szCs w:val="2"/>
                <w:lang w:val="en-US"/>
              </w:rPr>
            </w:pPr>
          </w:p>
        </w:tc>
      </w:tr>
    </w:tbl>
    <w:p>
      <w:pPr>
        <w:overflowPunct w:val="0"/>
        <w:autoSpaceDE w:val="0"/>
        <w:autoSpaceDN w:val="0"/>
        <w:adjustRightInd w:val="0"/>
        <w:spacing w:before="120"/>
        <w:textAlignment w:val="baseline"/>
      </w:pPr>
      <w:r>
        <w:t>From specification perspective</w:t>
      </w:r>
      <w:r>
        <w:rPr>
          <w:rFonts w:hint="eastAsia"/>
        </w:rPr>
        <w:t xml:space="preserve">, aperiodic CMR resource setting </w:t>
      </w:r>
      <w:r>
        <w:t xml:space="preserve">supports </w:t>
      </w:r>
      <w:r>
        <w:rPr>
          <w:rFonts w:hint="eastAsia"/>
        </w:rPr>
        <w:t>configuration of multiple sets</w:t>
      </w:r>
      <w:r>
        <w:t>, but for a CSI triggering state, only one out of the multiple sets can be selected for measurement and reporting</w:t>
      </w:r>
      <w:r>
        <w:rPr>
          <w:rFonts w:hint="eastAsia"/>
        </w:rPr>
        <w:t xml:space="preserve">. Thus, we need to </w:t>
      </w:r>
      <w:r>
        <w:t>further support the selection of up to</w:t>
      </w:r>
      <w:r>
        <w:rPr>
          <w:rFonts w:hint="eastAsia"/>
        </w:rPr>
        <w:t xml:space="preserve"> two CMR resource sets from multiple sets for beam management</w:t>
      </w:r>
      <w:r>
        <w:t xml:space="preserve"> in the configuration of CSI triggering state,</w:t>
      </w:r>
      <w:r>
        <w:rPr>
          <w:rFonts w:hint="eastAsia"/>
        </w:rPr>
        <w:t xml:space="preserve"> when </w:t>
      </w:r>
      <w:r>
        <w:t>the associated CMR resource setting</w:t>
      </w:r>
      <w:r>
        <w:rPr>
          <w:rFonts w:hint="eastAsia"/>
        </w:rPr>
        <w:t xml:space="preserve"> </w:t>
      </w:r>
      <w:r>
        <w:t>includes two or more</w:t>
      </w:r>
      <w:r>
        <w:rPr>
          <w:rFonts w:hint="eastAsia"/>
        </w:rPr>
        <w:t xml:space="preserve"> CMR resource sets.</w:t>
      </w:r>
    </w:p>
    <w:p>
      <w:pPr>
        <w:numPr>
          <w:ilvl w:val="255"/>
          <w:numId w:val="0"/>
        </w:numPr>
        <w:spacing w:before="120" w:after="0"/>
        <w:rPr>
          <w:i/>
        </w:rPr>
      </w:pPr>
      <w:r>
        <w:rPr>
          <w:b/>
          <w:i/>
        </w:rPr>
        <w:t xml:space="preserve">Proposal </w:t>
      </w:r>
      <w:r>
        <w:rPr>
          <w:rFonts w:hint="eastAsia"/>
          <w:b/>
          <w:i/>
        </w:rPr>
        <w:t>6</w:t>
      </w:r>
      <w:r>
        <w:rPr>
          <w:b/>
          <w:i/>
        </w:rPr>
        <w:t>:</w:t>
      </w:r>
      <w:r>
        <w:rPr>
          <w:i/>
        </w:rPr>
        <w:t xml:space="preserve"> </w:t>
      </w:r>
      <w:r>
        <w:rPr>
          <w:rFonts w:hint="eastAsia"/>
          <w:i/>
        </w:rPr>
        <w:t>Regarding Option 2 beam group based reporting</w:t>
      </w:r>
      <w:r>
        <w:rPr>
          <w:i/>
        </w:rPr>
        <w:t>,</w:t>
      </w:r>
      <w:r>
        <w:rPr>
          <w:rFonts w:hint="eastAsia"/>
          <w:i/>
        </w:rPr>
        <w:t xml:space="preserve"> </w:t>
      </w:r>
      <w:r>
        <w:rPr>
          <w:i/>
        </w:rPr>
        <w:t>a</w:t>
      </w:r>
      <w:r>
        <w:rPr>
          <w:rFonts w:hint="eastAsia"/>
          <w:i/>
        </w:rPr>
        <w:t>periodic CMR measurement based on multiple resource sets can be supported, besides for periodic and semi-persistent</w:t>
      </w:r>
      <w:r>
        <w:rPr>
          <w:i/>
        </w:rPr>
        <w:t>.</w:t>
      </w:r>
    </w:p>
    <w:p>
      <w:pPr>
        <w:numPr>
          <w:ilvl w:val="0"/>
          <w:numId w:val="17"/>
        </w:numPr>
        <w:spacing w:before="120" w:after="0"/>
        <w:ind w:left="363" w:hanging="363"/>
        <w:rPr>
          <w:i/>
        </w:rPr>
      </w:pPr>
      <w:r>
        <w:rPr>
          <w:i/>
        </w:rPr>
        <w:t xml:space="preserve">For a CSI triggering state, up to 2 CMR resource sets can be selected from the associated CMR resource setting having the multiple CMR resource sets. </w:t>
      </w:r>
    </w:p>
    <w:p>
      <w:pPr>
        <w:spacing w:before="120" w:after="0"/>
        <w:rPr>
          <w:i/>
        </w:rPr>
      </w:pPr>
      <w:r>
        <w:rPr>
          <w:rFonts w:hint="eastAsia"/>
        </w:rPr>
        <w:t xml:space="preserve">Since the configuration of 2 CMR resource sets has been agreed, the parameter configuration between </w:t>
      </w:r>
      <w:r>
        <w:t xml:space="preserve">the </w:t>
      </w:r>
      <w:r>
        <w:rPr>
          <w:rFonts w:hint="eastAsia"/>
        </w:rPr>
        <w:t xml:space="preserve">sets should be further considered. For example, </w:t>
      </w:r>
      <w:r>
        <w:t>RRC</w:t>
      </w:r>
      <w:r>
        <w:rPr>
          <w:rFonts w:hint="eastAsia"/>
        </w:rPr>
        <w:t xml:space="preserve"> parameters such as</w:t>
      </w:r>
      <w:r>
        <w:rPr>
          <w:i/>
          <w:iCs/>
        </w:rPr>
        <w:t xml:space="preserve"> repetition</w:t>
      </w:r>
      <w:r>
        <w:t xml:space="preserve"> or</w:t>
      </w:r>
      <w:r>
        <w:rPr>
          <w:rFonts w:hint="eastAsia"/>
        </w:rPr>
        <w:t xml:space="preserve"> </w:t>
      </w:r>
      <w:r>
        <w:rPr>
          <w:i/>
          <w:iCs/>
        </w:rPr>
        <w:t>trs-info</w:t>
      </w:r>
      <w:r>
        <w:rPr>
          <w:rFonts w:hint="eastAsia"/>
        </w:rPr>
        <w:t xml:space="preserve"> </w:t>
      </w:r>
      <w:r>
        <w:t>from different sets should be configured with same value(s)</w:t>
      </w:r>
      <w:r>
        <w:rPr>
          <w:rFonts w:hint="eastAsia"/>
        </w:rPr>
        <w:t>.</w:t>
      </w:r>
    </w:p>
    <w:p>
      <w:pPr>
        <w:numPr>
          <w:ilvl w:val="0"/>
          <w:numId w:val="1"/>
        </w:numPr>
        <w:tabs>
          <w:tab w:val="clear" w:pos="432"/>
        </w:tabs>
        <w:snapToGrid w:val="0"/>
        <w:spacing w:before="120" w:afterLines="50"/>
        <w:ind w:left="425" w:hanging="425"/>
        <w:outlineLvl w:val="0"/>
        <w:rPr>
          <w:b/>
          <w:sz w:val="28"/>
          <w:szCs w:val="28"/>
        </w:rPr>
      </w:pPr>
      <w:r>
        <w:rPr>
          <w:b/>
          <w:sz w:val="28"/>
          <w:szCs w:val="28"/>
        </w:rPr>
        <w:t>Enhancement(s) on TRP-specific beam failure recovery</w:t>
      </w:r>
    </w:p>
    <w:p>
      <w:pPr>
        <w:snapToGrid w:val="0"/>
        <w:spacing w:before="120" w:afterLines="50"/>
      </w:pPr>
      <w:r>
        <w:t xml:space="preserve">In this section, some enhancements including prioritization/roadmap of enhancing TRP-specific beam failure recovery (BFR), framework of TRP-specific BFR, </w:t>
      </w:r>
      <w:r>
        <w:rPr>
          <w:rFonts w:hint="eastAsia"/>
        </w:rPr>
        <w:t xml:space="preserve">beam failure detection (BFD), new candidate beam indication (NBI), </w:t>
      </w:r>
      <w:r>
        <w:t xml:space="preserve">PUCCH-SR, and UE behavior after receiving gNB response are elaborated for TRP-specific beam recovery. </w:t>
      </w:r>
    </w:p>
    <w:p>
      <w:pPr>
        <w:snapToGrid w:val="0"/>
        <w:spacing w:before="120" w:afterLines="50"/>
      </w:pPr>
      <w:r>
        <w:t>In RAN1#10</w:t>
      </w:r>
      <w:r>
        <w:rPr>
          <w:rFonts w:hint="eastAsia"/>
        </w:rPr>
        <w:t>4b</w:t>
      </w:r>
      <w:r>
        <w:t>-e, there was some discussion about whether sDCI-mTRP or mDCI-mTRP should be considered in TRP-specific BFR.</w:t>
      </w:r>
      <w:r>
        <w:rPr>
          <w:rFonts w:eastAsia="微软雅黑"/>
          <w:lang w:val="en-GB"/>
        </w:rPr>
        <w:t xml:space="preserve"> </w:t>
      </w:r>
      <w:r>
        <w:rPr>
          <w:rFonts w:eastAsia="微软雅黑"/>
        </w:rPr>
        <w:t>Further,</w:t>
      </w:r>
      <w:r>
        <w:rPr>
          <w:rFonts w:hint="eastAsia" w:eastAsia="微软雅黑"/>
        </w:rPr>
        <w:t xml:space="preserve"> </w:t>
      </w:r>
      <w:r>
        <w:rPr>
          <w:rFonts w:eastAsia="微软雅黑"/>
          <w:lang w:val="en-GB"/>
        </w:rPr>
        <w:t xml:space="preserve">the following agreement on </w:t>
      </w:r>
      <w:r>
        <w:rPr>
          <w:rFonts w:eastAsia="DengXian" w:cs="Times"/>
          <w:bCs/>
          <w:iCs/>
          <w:kern w:val="32"/>
          <w:szCs w:val="22"/>
        </w:rPr>
        <w:t>prioritizing</w:t>
      </w:r>
      <w:r>
        <w:rPr>
          <w:rFonts w:hint="eastAsia" w:eastAsia="DengXian" w:cs="Times"/>
          <w:bCs/>
          <w:iCs/>
          <w:kern w:val="32"/>
          <w:szCs w:val="22"/>
        </w:rPr>
        <w:t xml:space="preserve"> </w:t>
      </w:r>
      <w:r>
        <w:rPr>
          <w:rFonts w:eastAsia="DengXian" w:cs="Times"/>
          <w:bCs/>
          <w:iCs/>
          <w:kern w:val="32"/>
          <w:szCs w:val="22"/>
        </w:rPr>
        <w:t>M-DCI based</w:t>
      </w:r>
      <w:r>
        <w:rPr>
          <w:rFonts w:hint="eastAsia" w:eastAsia="DengXian" w:cs="Times"/>
          <w:bCs/>
          <w:iCs/>
          <w:kern w:val="32"/>
          <w:szCs w:val="22"/>
        </w:rPr>
        <w:t xml:space="preserve"> </w:t>
      </w:r>
      <w:r>
        <w:rPr>
          <w:rFonts w:hint="eastAsia" w:eastAsia="微软雅黑"/>
        </w:rPr>
        <w:t>M-TRP BFR</w:t>
      </w:r>
      <w:r>
        <w:rPr>
          <w:rFonts w:eastAsia="微软雅黑"/>
          <w:lang w:val="en-GB"/>
        </w:rPr>
        <w:t xml:space="preserve"> was agreed.</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numPr>
                <w:ilvl w:val="255"/>
                <w:numId w:val="0"/>
              </w:numPr>
              <w:spacing w:before="0" w:beforeLines="0" w:line="240" w:lineRule="auto"/>
            </w:pPr>
            <w:r>
              <w:rPr>
                <w:rFonts w:hint="eastAsia"/>
                <w:b/>
                <w:u w:val="single"/>
              </w:rPr>
              <w:t>A</w:t>
            </w:r>
            <w:r>
              <w:rPr>
                <w:b/>
                <w:u w:val="single"/>
              </w:rPr>
              <w:t>greement</w:t>
            </w:r>
          </w:p>
          <w:p>
            <w:pPr>
              <w:spacing w:before="0" w:beforeLines="0" w:after="0" w:line="240" w:lineRule="auto"/>
            </w:pPr>
            <w:r>
              <w:t>Support S-DCI and M-DCI in TRP-specific BFR in Rel.1</w:t>
            </w:r>
            <w:r>
              <w:rPr>
                <w:rFonts w:hint="eastAsia"/>
              </w:rPr>
              <w:t>7</w:t>
            </w:r>
          </w:p>
          <w:p>
            <w:pPr>
              <w:numPr>
                <w:ilvl w:val="0"/>
                <w:numId w:val="16"/>
              </w:numPr>
              <w:spacing w:before="0" w:beforeLines="0" w:after="0" w:line="240" w:lineRule="auto"/>
              <w:rPr>
                <w:rFonts w:eastAsia="DengXian" w:cs="Times"/>
                <w:bCs/>
                <w:iCs/>
                <w:kern w:val="32"/>
                <w:szCs w:val="22"/>
              </w:rPr>
            </w:pPr>
            <w:r>
              <w:rPr>
                <w:rFonts w:eastAsia="DengXian" w:cs="Times"/>
                <w:bCs/>
                <w:iCs/>
                <w:kern w:val="32"/>
                <w:szCs w:val="22"/>
              </w:rPr>
              <w:t>S-DCI is low priority, M-DCI is high priorit</w:t>
            </w:r>
            <w:r>
              <w:rPr>
                <w:rFonts w:hint="eastAsia" w:eastAsia="DengXian" w:cs="Times"/>
                <w:bCs/>
                <w:iCs/>
                <w:kern w:val="32"/>
                <w:szCs w:val="22"/>
              </w:rPr>
              <w:t>y</w:t>
            </w:r>
          </w:p>
          <w:p>
            <w:pPr>
              <w:numPr>
                <w:ilvl w:val="0"/>
                <w:numId w:val="16"/>
              </w:numPr>
              <w:spacing w:before="0" w:beforeLines="0" w:after="0" w:line="240" w:lineRule="auto"/>
            </w:pPr>
            <w:r>
              <w:rPr>
                <w:rFonts w:eastAsia="DengXian" w:cs="Times"/>
                <w:bCs/>
                <w:iCs/>
                <w:kern w:val="32"/>
                <w:szCs w:val="22"/>
              </w:rPr>
              <w:t>Unified design for S-DCI and M-DCI should not be precluded due to the prioritizatio</w:t>
            </w:r>
            <w:r>
              <w:rPr>
                <w:rFonts w:hint="eastAsia" w:eastAsia="DengXian" w:cs="Times"/>
                <w:bCs/>
                <w:iCs/>
                <w:kern w:val="32"/>
                <w:szCs w:val="22"/>
              </w:rPr>
              <w:t>n</w:t>
            </w:r>
          </w:p>
        </w:tc>
      </w:tr>
    </w:tbl>
    <w:p>
      <w:pPr>
        <w:numPr>
          <w:ilvl w:val="1"/>
          <w:numId w:val="1"/>
        </w:numPr>
        <w:snapToGrid w:val="0"/>
        <w:spacing w:before="120" w:afterLines="50"/>
        <w:outlineLvl w:val="1"/>
        <w:rPr>
          <w:b/>
          <w:sz w:val="28"/>
        </w:rPr>
      </w:pPr>
      <w:r>
        <w:rPr>
          <w:b/>
          <w:sz w:val="28"/>
        </w:rPr>
        <w:t>B</w:t>
      </w:r>
      <w:r>
        <w:rPr>
          <w:rFonts w:hint="eastAsia"/>
          <w:b/>
          <w:sz w:val="28"/>
        </w:rPr>
        <w:t>FD and NBI</w:t>
      </w:r>
    </w:p>
    <w:p>
      <w:pPr>
        <w:snapToGrid w:val="0"/>
        <w:spacing w:before="120" w:afterLines="50"/>
        <w:rPr>
          <w:rFonts w:eastAsia="微软雅黑"/>
          <w:lang w:val="en-GB"/>
        </w:rPr>
      </w:pPr>
      <w:r>
        <w:rPr>
          <w:rFonts w:eastAsia="微软雅黑"/>
          <w:lang w:val="en-GB"/>
        </w:rPr>
        <w:t>In RAN1#10</w:t>
      </w:r>
      <w:r>
        <w:rPr>
          <w:rFonts w:hint="eastAsia" w:eastAsia="微软雅黑"/>
        </w:rPr>
        <w:t>4</w:t>
      </w:r>
      <w:r>
        <w:rPr>
          <w:rFonts w:eastAsia="微软雅黑"/>
          <w:lang w:val="en-GB"/>
        </w:rPr>
        <w:t xml:space="preserve">-e, the following agreement was reached for the configuration of BFD and NBI resource set(s). </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21"/>
              <w:spacing w:before="12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pStyle w:val="114"/>
              <w:snapToGrid w:val="0"/>
              <w:spacing w:before="0" w:beforeLines="0" w:beforeAutospacing="0" w:after="0" w:afterAutospacing="0" w:line="240" w:lineRule="auto"/>
              <w:rPr>
                <w:rFonts w:ascii="Times New Roman" w:hAnsi="Times New Roman" w:cs="Times New Roman"/>
                <w:lang w:eastAsia="en-US"/>
              </w:rPr>
            </w:pPr>
            <w:r>
              <w:rPr>
                <w:rFonts w:ascii="Times New Roman" w:hAnsi="Times New Roman" w:cs="Times New Roman"/>
              </w:rPr>
              <w:t>For M-TRP BFR</w:t>
            </w:r>
          </w:p>
          <w:p>
            <w:pPr>
              <w:pStyle w:val="114"/>
              <w:numPr>
                <w:ilvl w:val="0"/>
                <w:numId w:val="18"/>
              </w:numPr>
              <w:snapToGrid w:val="0"/>
              <w:spacing w:before="0" w:beforeLines="0" w:beforeAutospacing="0" w:after="0" w:afterAutospacing="0" w:line="240" w:lineRule="auto"/>
              <w:rPr>
                <w:rFonts w:ascii="Times New Roman" w:hAnsi="Times New Roman" w:cs="Times New Roman"/>
              </w:rPr>
            </w:pPr>
            <w:r>
              <w:rPr>
                <w:rFonts w:ascii="Times New Roman" w:hAnsi="Times New Roman" w:cs="Times New Roman"/>
              </w:rPr>
              <w:t>Support 2 BFD-RS sets per BWP, and up to N resources per BFD-RS set</w:t>
            </w:r>
          </w:p>
          <w:p>
            <w:pPr>
              <w:pStyle w:val="114"/>
              <w:numPr>
                <w:ilvl w:val="1"/>
                <w:numId w:val="18"/>
              </w:numPr>
              <w:snapToGrid w:val="0"/>
              <w:spacing w:before="0" w:beforeLines="0" w:beforeAutospacing="0" w:after="0" w:afterAutospacing="0" w:line="240" w:lineRule="auto"/>
              <w:rPr>
                <w:rFonts w:ascii="Times New Roman" w:hAnsi="Times New Roman" w:cs="Times New Roman"/>
              </w:rPr>
            </w:pPr>
            <w:r>
              <w:rPr>
                <w:rFonts w:ascii="Times New Roman" w:hAnsi="Times New Roman" w:cs="Times New Roman"/>
              </w:rPr>
              <w:t>FFS: value of N (e.g. fixed in specification, or UE capability)</w:t>
            </w:r>
          </w:p>
          <w:p>
            <w:pPr>
              <w:pStyle w:val="114"/>
              <w:numPr>
                <w:ilvl w:val="0"/>
                <w:numId w:val="18"/>
              </w:numPr>
              <w:snapToGrid w:val="0"/>
              <w:spacing w:before="0" w:beforeLines="0" w:beforeAutospacing="0" w:after="0" w:afterAutospacing="0" w:line="240" w:lineRule="auto"/>
              <w:rPr>
                <w:rFonts w:ascii="Times New Roman" w:hAnsi="Times New Roman" w:cs="Times New Roman"/>
              </w:rPr>
            </w:pPr>
            <w:r>
              <w:rPr>
                <w:rFonts w:ascii="Times New Roman" w:hAnsi="Times New Roman" w:cs="Times New Roman"/>
              </w:rPr>
              <w:t>FFS: number of BFD RSs across all BFD-RS sets per DL BWP (e.g. fixed maximum value or UE capability)</w:t>
            </w:r>
          </w:p>
          <w:p>
            <w:pPr>
              <w:pStyle w:val="21"/>
              <w:spacing w:before="12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pStyle w:val="114"/>
              <w:snapToGrid w:val="0"/>
              <w:spacing w:before="0" w:beforeLines="0" w:beforeAutospacing="0" w:after="0" w:afterAutospacing="0" w:line="240" w:lineRule="auto"/>
              <w:rPr>
                <w:rFonts w:ascii="Times New Roman" w:hAnsi="Times New Roman" w:cs="Times New Roman"/>
              </w:rPr>
            </w:pPr>
            <w:r>
              <w:rPr>
                <w:rFonts w:ascii="Times New Roman" w:hAnsi="Times New Roman" w:cs="Times New Roman"/>
              </w:rPr>
              <w:t xml:space="preserve">For M-TRP BFR </w:t>
            </w:r>
          </w:p>
          <w:p>
            <w:pPr>
              <w:pStyle w:val="113"/>
              <w:snapToGrid w:val="0"/>
              <w:spacing w:beforeLines="0" w:after="0" w:line="240" w:lineRule="auto"/>
              <w:ind w:firstLine="400"/>
            </w:pPr>
            <w:r>
              <w:t>Support 1-to-1 association between each BFD-RS set and an NBI-RS set</w:t>
            </w:r>
          </w:p>
          <w:p>
            <w:pPr>
              <w:pStyle w:val="114"/>
              <w:numPr>
                <w:ilvl w:val="0"/>
                <w:numId w:val="18"/>
              </w:numPr>
              <w:snapToGrid w:val="0"/>
              <w:spacing w:before="0" w:beforeLines="0" w:beforeAutospacing="0" w:after="0" w:afterAutospacing="0" w:line="240" w:lineRule="auto"/>
              <w:rPr>
                <w:rFonts w:cs="Times"/>
              </w:rPr>
            </w:pPr>
            <w:r>
              <w:rPr>
                <w:rFonts w:ascii="Times New Roman" w:hAnsi="Times New Roman" w:cs="Times New Roman"/>
              </w:rPr>
              <w:t>FFS: Association details</w:t>
            </w:r>
          </w:p>
        </w:tc>
      </w:tr>
    </w:tbl>
    <w:p>
      <w:pPr>
        <w:snapToGrid w:val="0"/>
        <w:spacing w:before="120" w:afterLines="50"/>
      </w:pPr>
      <w:r>
        <w:rPr>
          <w:rFonts w:hint="eastAsia"/>
        </w:rPr>
        <w:t xml:space="preserve">As mentioned above, for the non-ideal backhaul scenario in Rel-16 mDCI-mTRP, different TRPs </w:t>
      </w:r>
      <w:r>
        <w:t>can operate</w:t>
      </w:r>
      <w:r>
        <w:rPr>
          <w:rFonts w:hint="eastAsia"/>
        </w:rPr>
        <w:t xml:space="preserve"> separately. So, for </w:t>
      </w:r>
      <w:r>
        <w:t>a</w:t>
      </w:r>
      <w:r>
        <w:rPr>
          <w:rFonts w:hint="eastAsia"/>
        </w:rPr>
        <w:t xml:space="preserve"> UE, it is quite likely that different Rx-beams are needed </w:t>
      </w:r>
      <w:r>
        <w:t>for</w:t>
      </w:r>
      <w:r>
        <w:rPr>
          <w:rFonts w:hint="eastAsia"/>
        </w:rPr>
        <w:t xml:space="preserve"> DL channel or RS </w:t>
      </w:r>
      <w:r>
        <w:t xml:space="preserve">reception </w:t>
      </w:r>
      <w:r>
        <w:rPr>
          <w:rFonts w:hint="eastAsia"/>
        </w:rPr>
        <w:t>from different TRPs. Considering that BFD RS is used to detect the</w:t>
      </w:r>
      <w:r>
        <w:t xml:space="preserve"> channel</w:t>
      </w:r>
      <w:r>
        <w:rPr>
          <w:rFonts w:hint="eastAsia"/>
        </w:rPr>
        <w:t xml:space="preserve"> quality of </w:t>
      </w:r>
      <w:r>
        <w:t xml:space="preserve">beam pair link corresponding to </w:t>
      </w:r>
      <w:r>
        <w:rPr>
          <w:rFonts w:hint="eastAsia"/>
        </w:rPr>
        <w:t>PDCCH, the UE should be configured with multiple separate BFD RS sets</w:t>
      </w:r>
      <w:r>
        <w:t xml:space="preserve"> and </w:t>
      </w:r>
      <w:r>
        <w:rPr>
          <w:rFonts w:hint="eastAsia"/>
        </w:rPr>
        <w:t>q_0</w:t>
      </w:r>
      <w:r>
        <w:t>(</w:t>
      </w:r>
      <w:r>
        <w:rPr>
          <w:rFonts w:hint="eastAsia"/>
        </w:rPr>
        <w:t>s)</w:t>
      </w:r>
      <w:r>
        <w:t>,</w:t>
      </w:r>
      <w:r>
        <w:rPr>
          <w:rFonts w:hint="eastAsia"/>
        </w:rPr>
        <w:t xml:space="preserve"> applied for different TRPs. Therefore, introduc</w:t>
      </w:r>
      <w:r>
        <w:t xml:space="preserve">ing </w:t>
      </w:r>
      <w:r>
        <w:rPr>
          <w:rFonts w:hint="eastAsia"/>
        </w:rPr>
        <w:t xml:space="preserve">a </w:t>
      </w:r>
      <w:r>
        <w:t>“</w:t>
      </w:r>
      <w:r>
        <w:rPr>
          <w:rFonts w:hint="eastAsia"/>
        </w:rPr>
        <w:t>TRP-ID</w:t>
      </w:r>
      <w:r>
        <w:t>”</w:t>
      </w:r>
      <w:r>
        <w:rPr>
          <w:rFonts w:hint="eastAsia"/>
        </w:rPr>
        <w:t xml:space="preserve"> </w:t>
      </w:r>
      <w:r>
        <w:t>becomes</w:t>
      </w:r>
      <w:r>
        <w:rPr>
          <w:rFonts w:hint="eastAsia"/>
        </w:rPr>
        <w:t xml:space="preserve"> necessary </w:t>
      </w:r>
      <w:r>
        <w:t xml:space="preserve">for </w:t>
      </w:r>
      <w:r>
        <w:rPr>
          <w:rFonts w:hint="eastAsia"/>
        </w:rPr>
        <w:t>distinguish</w:t>
      </w:r>
      <w:r>
        <w:t>ing</w:t>
      </w:r>
      <w:r>
        <w:rPr>
          <w:rFonts w:hint="eastAsia"/>
        </w:rPr>
        <w:t xml:space="preserve"> multiple configured q_0</w:t>
      </w:r>
      <w:r>
        <w:t>(</w:t>
      </w:r>
      <w:r>
        <w:rPr>
          <w:rFonts w:hint="eastAsia"/>
        </w:rPr>
        <w:t>s</w:t>
      </w:r>
      <w:r>
        <w:t>)</w:t>
      </w:r>
      <w:r>
        <w:rPr>
          <w:rFonts w:hint="eastAsia"/>
        </w:rPr>
        <w:t>.</w:t>
      </w:r>
    </w:p>
    <w:p>
      <w:pPr>
        <w:snapToGrid w:val="0"/>
        <w:spacing w:before="120" w:afterLines="50"/>
      </w:pPr>
      <w:r>
        <w:rPr>
          <w:rFonts w:hint="eastAsia"/>
        </w:rPr>
        <w:t xml:space="preserve">In Rel-16, in order to distinguish signaling and data from different TRPs effectively, especially DCI (or PDCCH), </w:t>
      </w:r>
      <w:r>
        <w:t xml:space="preserve">RRC parameter </w:t>
      </w:r>
      <w:r>
        <w:rPr>
          <w:i/>
          <w:iCs/>
        </w:rPr>
        <w:t>CORESETPoolIndex</w:t>
      </w:r>
      <w:r>
        <w:rPr>
          <w:rFonts w:hint="eastAsia"/>
        </w:rPr>
        <w:t xml:space="preserve"> has been agreed to be introduced. Compared with the introduction of a new </w:t>
      </w:r>
      <w:r>
        <w:t>“</w:t>
      </w:r>
      <w:r>
        <w:rPr>
          <w:rFonts w:hint="eastAsia"/>
        </w:rPr>
        <w:t>TRP-ID</w:t>
      </w:r>
      <w:r>
        <w:t>”</w:t>
      </w:r>
      <w:r>
        <w:rPr>
          <w:rFonts w:hint="eastAsia"/>
        </w:rPr>
        <w:t xml:space="preserve">, using </w:t>
      </w:r>
      <w:r>
        <w:rPr>
          <w:i/>
          <w:iCs/>
        </w:rPr>
        <w:t>CORESETPoolIndex</w:t>
      </w:r>
      <w:r>
        <w:rPr>
          <w:rFonts w:hint="eastAsia"/>
        </w:rPr>
        <w:t xml:space="preserve"> as </w:t>
      </w:r>
      <w:r>
        <w:t>“</w:t>
      </w:r>
      <w:r>
        <w:rPr>
          <w:rFonts w:hint="eastAsia"/>
        </w:rPr>
        <w:t>TRP-ID</w:t>
      </w:r>
      <w:r>
        <w:t>”</w:t>
      </w:r>
      <w:r>
        <w:rPr>
          <w:rFonts w:hint="eastAsia"/>
        </w:rPr>
        <w:t xml:space="preserve"> directly has </w:t>
      </w:r>
      <w:r>
        <w:t>smaller</w:t>
      </w:r>
      <w:r>
        <w:rPr>
          <w:rFonts w:hint="eastAsia"/>
        </w:rPr>
        <w:t xml:space="preserve"> </w:t>
      </w:r>
      <w:r>
        <w:t xml:space="preserve">spec </w:t>
      </w:r>
      <w:r>
        <w:rPr>
          <w:rFonts w:hint="eastAsia"/>
        </w:rPr>
        <w:t>impact</w:t>
      </w:r>
      <w:r>
        <w:t xml:space="preserve">. Therefore, </w:t>
      </w:r>
      <w:r>
        <w:rPr>
          <w:i/>
          <w:iCs/>
        </w:rPr>
        <w:t>CORESETPoolIndex</w:t>
      </w:r>
      <w:r>
        <w:t xml:space="preserve"> is recommended to distinguish different TRP</w:t>
      </w:r>
      <w:r>
        <w:rPr>
          <w:rFonts w:hint="eastAsia"/>
        </w:rPr>
        <w:t>s</w:t>
      </w:r>
      <w:r>
        <w:t xml:space="preserve"> in the mDCI-mTRP case</w:t>
      </w:r>
      <w:r>
        <w:rPr>
          <w:rFonts w:hint="eastAsia"/>
        </w:rPr>
        <w:t xml:space="preserve">, as shown in Figure </w:t>
      </w:r>
      <w:r>
        <w:t>3</w:t>
      </w:r>
      <w:r>
        <w:rPr>
          <w:rFonts w:hint="eastAsia"/>
        </w:rPr>
        <w:t>.</w:t>
      </w:r>
    </w:p>
    <w:p>
      <w:pPr>
        <w:snapToGrid w:val="0"/>
        <w:spacing w:before="120" w:afterLines="50"/>
        <w:jc w:val="center"/>
      </w:pPr>
      <w:r>
        <w:object>
          <v:shape id="_x0000_i1027" o:spt="75" type="#_x0000_t75" style="height:126pt;width:434.2pt;" o:ole="t" filled="f" o:preferrelative="t" stroked="f" coordsize="21600,21600">
            <v:path/>
            <v:fill on="f" focussize="0,0"/>
            <v:stroke on="f" joinstyle="miter"/>
            <v:imagedata r:id="rId15" o:title=""/>
            <o:lock v:ext="edit" aspectratio="t"/>
            <w10:wrap type="none"/>
            <w10:anchorlock/>
          </v:shape>
          <o:OLEObject Type="Embed" ProgID="Visio.Drawing.11" ShapeID="_x0000_i1027" DrawAspect="Content" ObjectID="_1468075727" r:id="rId14">
            <o:LockedField>false</o:LockedField>
          </o:OLEObject>
        </w:object>
      </w:r>
    </w:p>
    <w:p>
      <w:pPr>
        <w:spacing w:before="120" w:line="240" w:lineRule="auto"/>
        <w:jc w:val="center"/>
      </w:pPr>
      <w:r>
        <w:rPr>
          <w:b/>
        </w:rPr>
        <w:t>Figure 3</w:t>
      </w:r>
      <w:r>
        <w:rPr>
          <w:bCs/>
        </w:rPr>
        <w:t xml:space="preserve"> </w:t>
      </w:r>
      <w:r>
        <w:rPr>
          <w:rFonts w:hint="eastAsia"/>
          <w:bCs/>
        </w:rPr>
        <w:t>Framework for TRP-specific BFR</w:t>
      </w:r>
      <w:r>
        <w:rPr>
          <w:bCs/>
        </w:rPr>
        <w:t xml:space="preserve"> in mDCI-mTRP</w:t>
      </w:r>
    </w:p>
    <w:p>
      <w:pPr>
        <w:snapToGrid w:val="0"/>
        <w:spacing w:before="120" w:afterLines="50"/>
      </w:pPr>
      <w:r>
        <w:rPr>
          <w:rFonts w:hint="eastAsia"/>
        </w:rPr>
        <w:t>Further, for mDCI-mTRP, explicit and implicit methods for determining BFD RS per TRP should be supported</w:t>
      </w:r>
      <w:r>
        <w:t>, to be aligned with legacy Rel-15/16 BFR</w:t>
      </w:r>
      <w:r>
        <w:rPr>
          <w:rFonts w:hint="eastAsia"/>
        </w:rPr>
        <w:t>.</w:t>
      </w:r>
    </w:p>
    <w:p>
      <w:pPr>
        <w:numPr>
          <w:ilvl w:val="0"/>
          <w:numId w:val="19"/>
        </w:numPr>
        <w:snapToGrid w:val="0"/>
        <w:spacing w:before="120" w:afterLines="50"/>
      </w:pPr>
      <w:r>
        <w:rPr>
          <w:rFonts w:hint="eastAsia"/>
        </w:rPr>
        <w:t>Explicit: two separate q_0</w:t>
      </w:r>
      <w:r>
        <w:t>(</w:t>
      </w:r>
      <w:r>
        <w:rPr>
          <w:rFonts w:hint="eastAsia"/>
        </w:rPr>
        <w:t>s</w:t>
      </w:r>
      <w:r>
        <w:t>)</w:t>
      </w:r>
      <w:r>
        <w:rPr>
          <w:rFonts w:hint="eastAsia"/>
        </w:rPr>
        <w:t xml:space="preserve"> are configured per </w:t>
      </w:r>
      <w:r>
        <w:rPr>
          <w:i/>
          <w:iCs/>
        </w:rPr>
        <w:t>CORESETPoolIndex</w:t>
      </w:r>
      <w:r>
        <w:rPr>
          <w:rFonts w:hint="eastAsia"/>
        </w:rPr>
        <w:t>.</w:t>
      </w:r>
    </w:p>
    <w:p>
      <w:pPr>
        <w:numPr>
          <w:ilvl w:val="0"/>
          <w:numId w:val="19"/>
        </w:numPr>
        <w:snapToGrid w:val="0"/>
        <w:spacing w:before="120" w:afterLines="50"/>
      </w:pPr>
      <w:r>
        <w:rPr>
          <w:rFonts w:hint="eastAsia"/>
        </w:rPr>
        <w:t xml:space="preserve">Implicit: q_0 is determined according to TCI states of CORESETs per </w:t>
      </w:r>
      <w:r>
        <w:rPr>
          <w:i/>
          <w:iCs/>
        </w:rPr>
        <w:t>CORESETPoolIndex</w:t>
      </w:r>
      <w:r>
        <w:rPr>
          <w:rFonts w:hint="eastAsia"/>
        </w:rPr>
        <w:t>.</w:t>
      </w:r>
    </w:p>
    <w:p>
      <w:pPr>
        <w:numPr>
          <w:ilvl w:val="255"/>
          <w:numId w:val="0"/>
        </w:numPr>
        <w:snapToGrid w:val="0"/>
        <w:spacing w:before="120" w:afterLines="50"/>
        <w:ind w:left="-20"/>
      </w:pPr>
      <w:r>
        <w:rPr>
          <w:rFonts w:hint="eastAsia"/>
        </w:rPr>
        <w:t>Similarly, TRP-specific NBI RS may also be needed, which means that the size of NBI RS set</w:t>
      </w:r>
      <w:r>
        <w:t xml:space="preserve">, </w:t>
      </w:r>
      <w:r>
        <w:rPr>
          <w:rFonts w:hint="eastAsia"/>
        </w:rPr>
        <w:t>q_1</w:t>
      </w:r>
      <w:r>
        <w:t>,</w:t>
      </w:r>
      <w:r>
        <w:rPr>
          <w:rFonts w:hint="eastAsia"/>
        </w:rPr>
        <w:t xml:space="preserve"> is likely to be smaller than before. Thereby, it is beneficial for the UE to find a new candidate beam faster and reduce power consumption. Thus, for mDCI-mTRP, explicit method for determining NBI RS per TRP should be further supported.</w:t>
      </w:r>
    </w:p>
    <w:p>
      <w:pPr>
        <w:numPr>
          <w:ilvl w:val="0"/>
          <w:numId w:val="19"/>
        </w:numPr>
        <w:snapToGrid w:val="0"/>
        <w:spacing w:before="120" w:afterLines="50"/>
      </w:pPr>
      <w:r>
        <w:rPr>
          <w:rFonts w:hint="eastAsia"/>
        </w:rPr>
        <w:t>Explicit: two separate q_1</w:t>
      </w:r>
      <w:r>
        <w:t>(</w:t>
      </w:r>
      <w:r>
        <w:rPr>
          <w:rFonts w:hint="eastAsia"/>
        </w:rPr>
        <w:t>s</w:t>
      </w:r>
      <w:r>
        <w:t>)</w:t>
      </w:r>
      <w:r>
        <w:rPr>
          <w:rFonts w:hint="eastAsia"/>
        </w:rPr>
        <w:t xml:space="preserve"> are configured per </w:t>
      </w:r>
      <w:r>
        <w:rPr>
          <w:i/>
          <w:iCs/>
        </w:rPr>
        <w:t>CORESETPoolIndex</w:t>
      </w:r>
      <w:r>
        <w:rPr>
          <w:rFonts w:hint="eastAsia"/>
        </w:rPr>
        <w:t>.</w:t>
      </w:r>
    </w:p>
    <w:p>
      <w:pPr>
        <w:spacing w:before="120" w:line="271" w:lineRule="auto"/>
        <w:ind w:right="11"/>
        <w:rPr>
          <w:i/>
        </w:rPr>
      </w:pPr>
      <w:r>
        <w:rPr>
          <w:b/>
          <w:i/>
        </w:rPr>
        <w:t xml:space="preserve">Proposal </w:t>
      </w:r>
      <w:r>
        <w:rPr>
          <w:rFonts w:hint="eastAsia"/>
          <w:b/>
          <w:i/>
        </w:rPr>
        <w:t>7</w:t>
      </w:r>
      <w:r>
        <w:rPr>
          <w:b/>
          <w:i/>
        </w:rPr>
        <w:t xml:space="preserve">: </w:t>
      </w:r>
      <w:r>
        <w:rPr>
          <w:i/>
        </w:rPr>
        <w:t xml:space="preserve"> Support TRP-specific BFD RS and NBI RS through associating CORESETPoolIndex with BFD RS and NBI RS in mDCI-mTRP.</w:t>
      </w:r>
    </w:p>
    <w:p>
      <w:pPr>
        <w:numPr>
          <w:ilvl w:val="0"/>
          <w:numId w:val="9"/>
        </w:numPr>
        <w:spacing w:before="120" w:after="0"/>
        <w:rPr>
          <w:rFonts w:eastAsia="微软雅黑"/>
          <w:i/>
        </w:rPr>
      </w:pPr>
      <w:r>
        <w:rPr>
          <w:rFonts w:eastAsia="微软雅黑"/>
          <w:i/>
        </w:rPr>
        <w:t xml:space="preserve">For BFD, explicit and implicit methods are both supported for determining BFD RS per </w:t>
      </w:r>
      <w:r>
        <w:rPr>
          <w:i/>
        </w:rPr>
        <w:t>CORESETPoolIndex</w:t>
      </w:r>
      <w:r>
        <w:rPr>
          <w:rFonts w:eastAsia="微软雅黑"/>
          <w:i/>
        </w:rPr>
        <w:t xml:space="preserve"> </w:t>
      </w:r>
    </w:p>
    <w:p>
      <w:pPr>
        <w:numPr>
          <w:ilvl w:val="1"/>
          <w:numId w:val="10"/>
        </w:numPr>
        <w:spacing w:before="60" w:beforeLines="25" w:afterLines="50"/>
        <w:ind w:left="851"/>
        <w:rPr>
          <w:i/>
        </w:rPr>
      </w:pPr>
      <w:r>
        <w:rPr>
          <w:i/>
        </w:rPr>
        <w:t>Explicit:</w:t>
      </w:r>
      <w:r>
        <w:rPr>
          <w:rFonts w:hint="eastAsia"/>
          <w:i/>
        </w:rPr>
        <w:t xml:space="preserve"> </w:t>
      </w:r>
      <w:r>
        <w:rPr>
          <w:i/>
        </w:rPr>
        <w:t xml:space="preserve">Two separate BFD RS sets, q_0(s), are configured </w:t>
      </w:r>
      <w:r>
        <w:rPr>
          <w:rFonts w:hint="eastAsia"/>
          <w:i/>
        </w:rPr>
        <w:t>per</w:t>
      </w:r>
      <w:r>
        <w:rPr>
          <w:i/>
        </w:rPr>
        <w:t xml:space="preserve"> CORESETPoolIndex</w:t>
      </w:r>
      <w:r>
        <w:rPr>
          <w:rFonts w:hint="eastAsia"/>
          <w:i/>
        </w:rPr>
        <w:t>,</w:t>
      </w:r>
      <w:r>
        <w:rPr>
          <w:i/>
        </w:rPr>
        <w:t xml:space="preserve"> and a RS of each of </w:t>
      </w:r>
      <w:r>
        <w:rPr>
          <w:rFonts w:hint="eastAsia"/>
          <w:i/>
        </w:rPr>
        <w:t>q_0</w:t>
      </w:r>
      <w:r>
        <w:rPr>
          <w:i/>
        </w:rPr>
        <w:t>(s)</w:t>
      </w:r>
      <w:r>
        <w:rPr>
          <w:rFonts w:hint="eastAsia"/>
          <w:i/>
        </w:rPr>
        <w:t xml:space="preserve"> should be QCL-ed with a CORESET with  a CORESETPoolIndex corresponding to the  q_0</w:t>
      </w:r>
    </w:p>
    <w:p>
      <w:pPr>
        <w:numPr>
          <w:ilvl w:val="1"/>
          <w:numId w:val="10"/>
        </w:numPr>
        <w:spacing w:before="60" w:beforeLines="25" w:afterLines="50"/>
        <w:ind w:left="851"/>
        <w:rPr>
          <w:i/>
        </w:rPr>
      </w:pPr>
      <w:r>
        <w:rPr>
          <w:i/>
        </w:rPr>
        <w:t>Implicit:</w:t>
      </w:r>
      <w:r>
        <w:rPr>
          <w:rFonts w:hint="eastAsia"/>
          <w:i/>
        </w:rPr>
        <w:t xml:space="preserve"> </w:t>
      </w:r>
      <w:r>
        <w:rPr>
          <w:i/>
        </w:rPr>
        <w:t xml:space="preserve">Two separate BFD RS sets, q_0(s), are determined according to TCI states of CORESETs per CORESETPoolIndex </w:t>
      </w:r>
    </w:p>
    <w:p>
      <w:pPr>
        <w:numPr>
          <w:ilvl w:val="0"/>
          <w:numId w:val="13"/>
        </w:numPr>
        <w:spacing w:before="120" w:line="272" w:lineRule="auto"/>
        <w:ind w:left="363" w:right="11" w:hanging="363"/>
        <w:rPr>
          <w:rFonts w:eastAsia="微软雅黑"/>
          <w:i/>
        </w:rPr>
      </w:pPr>
      <w:r>
        <w:rPr>
          <w:rFonts w:eastAsia="微软雅黑"/>
          <w:i/>
        </w:rPr>
        <w:t>For NBI, two separate NBI RS sets, q_1</w:t>
      </w:r>
      <w:r>
        <w:rPr>
          <w:i/>
        </w:rPr>
        <w:t>(s)</w:t>
      </w:r>
      <w:r>
        <w:rPr>
          <w:rFonts w:eastAsia="微软雅黑"/>
          <w:i/>
        </w:rPr>
        <w:t xml:space="preserve">, can be explicitly configured per </w:t>
      </w:r>
      <w:r>
        <w:rPr>
          <w:i/>
        </w:rPr>
        <w:t>CORESETPoolIndex</w:t>
      </w:r>
      <w:r>
        <w:rPr>
          <w:rFonts w:eastAsia="微软雅黑"/>
          <w:i/>
        </w:rPr>
        <w:t xml:space="preserve"> </w:t>
      </w:r>
    </w:p>
    <w:p>
      <w:pPr>
        <w:numPr>
          <w:ilvl w:val="255"/>
          <w:numId w:val="0"/>
        </w:numPr>
        <w:snapToGrid w:val="0"/>
        <w:spacing w:before="120" w:afterLines="50"/>
      </w:pPr>
      <w:r>
        <w:rPr>
          <w:rFonts w:hint="eastAsia"/>
        </w:rPr>
        <w:t>It has been agreed that unified TCI state is indicated or updated by DCI, and it means that the Rx-beam of PDCCH can be updated dynamically, just like PDSCH. But, BFD RS is still reconfigured through RRC signaling. Such different latency of dynamic signaling and RRC signaling would cause misalignment</w:t>
      </w:r>
      <w:r>
        <w:t xml:space="preserve"> and ambiguity</w:t>
      </w:r>
      <w:r>
        <w:rPr>
          <w:rFonts w:hint="eastAsia"/>
        </w:rPr>
        <w:t xml:space="preserve"> to BFD. Specifically, when the beam of PDCCH is updated by DCI, the current q_0 may not be suitable for BFD anymore. Therefore, updating BFD RS based on </w:t>
      </w:r>
      <w:r>
        <w:t xml:space="preserve">a </w:t>
      </w:r>
      <w:r>
        <w:rPr>
          <w:rFonts w:hint="eastAsia"/>
        </w:rPr>
        <w:t>dynamic signaling should be supported.</w:t>
      </w:r>
      <w:r>
        <w:t xml:space="preserve"> As a starting point, updating BFD RS through MAC-CE signaling can be considered. </w:t>
      </w:r>
    </w:p>
    <w:p>
      <w:pPr>
        <w:numPr>
          <w:ilvl w:val="0"/>
          <w:numId w:val="19"/>
        </w:numPr>
        <w:snapToGrid w:val="0"/>
        <w:spacing w:before="120" w:afterLines="50"/>
        <w:rPr>
          <w:rFonts w:eastAsia="微软雅黑"/>
        </w:rPr>
      </w:pPr>
      <w:r>
        <w:rPr>
          <w:rFonts w:hint="eastAsia"/>
        </w:rPr>
        <w:t>The MAC-CE signaling may include a RS identifier (ID) to indicate UE which RS is used to update BF</w:t>
      </w:r>
      <w:r>
        <w:t>D</w:t>
      </w:r>
      <w:r>
        <w:rPr>
          <w:rFonts w:hint="eastAsia"/>
        </w:rPr>
        <w:t>-RS</w:t>
      </w:r>
      <w:r>
        <w:t xml:space="preserve"> and its corresponding ‘TRP-ID’</w:t>
      </w:r>
      <w:r>
        <w:rPr>
          <w:rFonts w:hint="eastAsia"/>
        </w:rPr>
        <w:t>.</w:t>
      </w:r>
      <w:r>
        <w:t xml:space="preserve"> As mentioned above, s</w:t>
      </w:r>
      <w:r>
        <w:rPr>
          <w:rFonts w:hint="eastAsia"/>
        </w:rPr>
        <w:t xml:space="preserve">ince </w:t>
      </w:r>
      <w:r>
        <w:t xml:space="preserve">RRC parameter </w:t>
      </w:r>
      <w:r>
        <w:rPr>
          <w:i/>
          <w:iCs/>
        </w:rPr>
        <w:t>CORESETPoolIndex</w:t>
      </w:r>
      <w:r>
        <w:rPr>
          <w:rFonts w:hint="eastAsia"/>
        </w:rPr>
        <w:t xml:space="preserve"> has been agreed to be introduced in mDCI</w:t>
      </w:r>
      <w:r>
        <w:t>-</w:t>
      </w:r>
      <w:r>
        <w:rPr>
          <w:rFonts w:hint="eastAsia"/>
        </w:rPr>
        <w:t xml:space="preserve">mTRP, </w:t>
      </w:r>
      <w:r>
        <w:rPr>
          <w:i/>
          <w:iCs/>
        </w:rPr>
        <w:t>CORESETPoolIndex</w:t>
      </w:r>
      <w:r>
        <w:t xml:space="preserve"> is recommended as ‘TRP-ID’ to</w:t>
      </w:r>
      <w:r>
        <w:rPr>
          <w:rFonts w:hint="eastAsia"/>
        </w:rPr>
        <w:t xml:space="preserve"> be</w:t>
      </w:r>
      <w:r>
        <w:t xml:space="preserve"> </w:t>
      </w:r>
      <w:r>
        <w:rPr>
          <w:rFonts w:hint="eastAsia"/>
        </w:rPr>
        <w:t>included in the MAC-CE signaling.</w:t>
      </w:r>
    </w:p>
    <w:p>
      <w:pPr>
        <w:spacing w:before="120" w:line="271" w:lineRule="auto"/>
        <w:ind w:right="11"/>
        <w:rPr>
          <w:i/>
        </w:rPr>
      </w:pPr>
      <w:r>
        <w:rPr>
          <w:b/>
          <w:i/>
        </w:rPr>
        <w:t>Proposal</w:t>
      </w:r>
      <w:r>
        <w:rPr>
          <w:rFonts w:hint="eastAsia"/>
          <w:b/>
          <w:i/>
        </w:rPr>
        <w:t xml:space="preserve"> 8:</w:t>
      </w:r>
      <w:r>
        <w:rPr>
          <w:b/>
          <w:i/>
        </w:rPr>
        <w:t xml:space="preserve"> </w:t>
      </w:r>
      <w:r>
        <w:rPr>
          <w:i/>
        </w:rPr>
        <w:t>Introduce a new MAC-CE</w:t>
      </w:r>
      <w:r>
        <w:rPr>
          <w:rFonts w:hint="eastAsia"/>
          <w:i/>
        </w:rPr>
        <w:t xml:space="preserve"> </w:t>
      </w:r>
      <w:r>
        <w:rPr>
          <w:i/>
        </w:rPr>
        <w:t xml:space="preserve">to activate </w:t>
      </w:r>
      <w:r>
        <w:rPr>
          <w:rFonts w:hint="eastAsia"/>
          <w:i/>
        </w:rPr>
        <w:t>BFD RS</w:t>
      </w:r>
      <w:r>
        <w:rPr>
          <w:i/>
        </w:rPr>
        <w:t>(s) dynamically, in order to guarantee the same timeline between PDCCH beam update and explicit BFD RS configuration</w:t>
      </w:r>
      <w:r>
        <w:rPr>
          <w:rFonts w:hint="eastAsia"/>
          <w:i/>
        </w:rPr>
        <w:t>.</w:t>
      </w:r>
    </w:p>
    <w:p>
      <w:pPr>
        <w:spacing w:before="120" w:line="271" w:lineRule="auto"/>
        <w:ind w:right="11"/>
        <w:rPr>
          <w:i/>
        </w:rPr>
      </w:pPr>
      <w:r>
        <w:rPr>
          <w:rFonts w:hint="eastAsia"/>
          <w:i/>
        </w:rPr>
        <w:t xml:space="preserve">-      </w:t>
      </w:r>
      <w:r>
        <w:rPr>
          <w:i/>
        </w:rPr>
        <w:t>In the MAC-CE, BFD-RS ID and corresponding CORESETPoolIndex should be included for mDCI-mTRP.</w:t>
      </w:r>
    </w:p>
    <w:p>
      <w:pPr>
        <w:numPr>
          <w:ilvl w:val="1"/>
          <w:numId w:val="1"/>
        </w:numPr>
        <w:snapToGrid w:val="0"/>
        <w:spacing w:before="120" w:afterLines="50"/>
        <w:outlineLvl w:val="1"/>
        <w:rPr>
          <w:b/>
          <w:sz w:val="28"/>
        </w:rPr>
      </w:pPr>
      <w:r>
        <w:rPr>
          <w:b/>
          <w:sz w:val="28"/>
        </w:rPr>
        <w:t xml:space="preserve">PUCCH-SR and </w:t>
      </w:r>
      <w:r>
        <w:rPr>
          <w:rFonts w:hint="eastAsia"/>
          <w:b/>
          <w:sz w:val="28"/>
        </w:rPr>
        <w:t>PRACH</w:t>
      </w:r>
      <w:r>
        <w:rPr>
          <w:b/>
          <w:sz w:val="28"/>
        </w:rPr>
        <w:t xml:space="preserve"> for TRP-specific BFR</w:t>
      </w:r>
    </w:p>
    <w:p>
      <w:pPr>
        <w:spacing w:before="120" w:line="271" w:lineRule="auto"/>
        <w:ind w:right="11"/>
      </w:pPr>
      <w:r>
        <w:t>In RAN1#10</w:t>
      </w:r>
      <w:r>
        <w:rPr>
          <w:rFonts w:hint="eastAsia"/>
        </w:rPr>
        <w:t>4</w:t>
      </w:r>
      <w:r>
        <w:t>-e</w:t>
      </w:r>
      <w:r>
        <w:rPr>
          <w:rFonts w:hint="eastAsia"/>
        </w:rPr>
        <w:t xml:space="preserve"> and RAN1#105-e</w:t>
      </w:r>
      <w:r>
        <w:t>, PUCCH-SR for TRP-specific beam recovery has been discussed, and the following agreement was reached.</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21"/>
              <w:spacing w:before="120" w:beforeAutospacing="0" w:after="0" w:afterAutospacing="0"/>
              <w:rPr>
                <w:rFonts w:ascii="Times New Roman" w:hAnsi="Times New Roman" w:cs="Times New Roman"/>
                <w:b/>
                <w:sz w:val="20"/>
                <w:szCs w:val="20"/>
                <w:u w:val="single"/>
              </w:rPr>
            </w:pPr>
            <w:r>
              <w:rPr>
                <w:rFonts w:hint="eastAsia" w:ascii="Times New Roman" w:hAnsi="Times New Roman" w:cs="Times New Roman"/>
                <w:b/>
                <w:sz w:val="20"/>
                <w:szCs w:val="20"/>
                <w:u w:val="single"/>
              </w:rPr>
              <w:t>A</w:t>
            </w:r>
            <w:r>
              <w:rPr>
                <w:rFonts w:ascii="Times New Roman" w:hAnsi="Times New Roman" w:cs="Times New Roman"/>
                <w:b/>
                <w:sz w:val="20"/>
                <w:szCs w:val="20"/>
                <w:u w:val="single"/>
              </w:rPr>
              <w:t>greement</w:t>
            </w:r>
          </w:p>
          <w:p>
            <w:pPr>
              <w:pStyle w:val="114"/>
              <w:snapToGrid w:val="0"/>
              <w:spacing w:before="0" w:beforeLines="0" w:beforeAutospacing="0" w:after="0" w:afterAutospacing="0" w:line="240" w:lineRule="auto"/>
              <w:rPr>
                <w:rFonts w:ascii="Times New Roman" w:hAnsi="Times New Roman" w:cs="Times New Roman"/>
                <w:lang w:eastAsia="en-US"/>
              </w:rPr>
            </w:pPr>
            <w:r>
              <w:rPr>
                <w:rFonts w:ascii="Times New Roman" w:hAnsi="Times New Roman" w:cs="Times New Roman"/>
              </w:rPr>
              <w:t>A UE configured with TRP-specific BFR can be configured with 1 PUCCH-SR resource in a cell group</w:t>
            </w:r>
          </w:p>
          <w:p>
            <w:pPr>
              <w:pStyle w:val="114"/>
              <w:numPr>
                <w:ilvl w:val="0"/>
                <w:numId w:val="18"/>
              </w:numPr>
              <w:snapToGrid w:val="0"/>
              <w:spacing w:before="0" w:beforeLines="0" w:beforeAutospacing="0" w:after="0" w:afterAutospacing="0" w:line="240" w:lineRule="auto"/>
              <w:rPr>
                <w:rFonts w:ascii="Times New Roman" w:hAnsi="Times New Roman" w:cs="Times New Roman"/>
              </w:rPr>
            </w:pPr>
            <w:r>
              <w:rPr>
                <w:rFonts w:ascii="Times New Roman" w:hAnsi="Times New Roman" w:cs="Times New Roman"/>
                <w:lang w:eastAsia="zh-CN"/>
              </w:rPr>
              <w:t>NOTE: it has been agreed in RAN1#104-e that a UE can be configured with up to 2 PUCCH-SR resources in a cell grou</w:t>
            </w:r>
            <w:r>
              <w:rPr>
                <w:rFonts w:hint="eastAsia" w:ascii="Times New Roman" w:hAnsi="Times New Roman" w:cs="Times New Roman"/>
                <w:lang w:eastAsia="zh-CN"/>
              </w:rPr>
              <w:t>p</w:t>
            </w:r>
          </w:p>
          <w:p>
            <w:pPr>
              <w:snapToGrid w:val="0"/>
              <w:spacing w:before="0" w:beforeLines="0" w:after="0" w:line="240" w:lineRule="auto"/>
            </w:pPr>
            <w:r>
              <w:t>For the TRP specific BFR, for a UE configured with two PUCCH-SR resources in a cell group when beam failure is detected in a one or more CCs in one or more of BFD-RS sets configured in one or more of CCs,</w:t>
            </w:r>
          </w:p>
          <w:p>
            <w:pPr>
              <w:numPr>
                <w:ilvl w:val="0"/>
                <w:numId w:val="20"/>
              </w:numPr>
              <w:snapToGrid w:val="0"/>
              <w:spacing w:before="0" w:beforeLines="0" w:after="0" w:line="240" w:lineRule="auto"/>
            </w:pPr>
            <w:r>
              <w:t>Down select one of the following PUCCH-SR resource selection rules when SR is triggered (or their combinations) for the study, without precluding other alternatives, in RAN1#105-e</w:t>
            </w:r>
          </w:p>
          <w:p>
            <w:pPr>
              <w:numPr>
                <w:ilvl w:val="1"/>
                <w:numId w:val="16"/>
              </w:numPr>
              <w:snapToGrid w:val="0"/>
              <w:spacing w:before="0" w:beforeLines="0" w:after="0" w:line="240" w:lineRule="auto"/>
              <w:rPr>
                <w:rFonts w:eastAsia="DengXian" w:cs="Times"/>
                <w:bCs/>
                <w:iCs/>
                <w:kern w:val="32"/>
                <w:szCs w:val="22"/>
              </w:rPr>
            </w:pPr>
            <w:r>
              <w:rPr>
                <w:rFonts w:eastAsia="DengXian" w:cs="Times"/>
                <w:bCs/>
                <w:iCs/>
                <w:kern w:val="32"/>
                <w:szCs w:val="22"/>
              </w:rPr>
              <w:t>Alt-1: PUCCH-SR resource associated with other/non-failed BFD-RS set, association details FFS</w:t>
            </w:r>
          </w:p>
          <w:p>
            <w:pPr>
              <w:numPr>
                <w:ilvl w:val="1"/>
                <w:numId w:val="16"/>
              </w:numPr>
              <w:snapToGrid w:val="0"/>
              <w:spacing w:before="0" w:beforeLines="0" w:after="0" w:line="240" w:lineRule="auto"/>
              <w:rPr>
                <w:rFonts w:eastAsia="DengXian" w:cs="Times"/>
                <w:bCs/>
                <w:iCs/>
                <w:kern w:val="32"/>
                <w:szCs w:val="22"/>
              </w:rPr>
            </w:pPr>
            <w:r>
              <w:rPr>
                <w:rFonts w:eastAsia="DengXian" w:cs="Times"/>
                <w:bCs/>
                <w:iCs/>
                <w:kern w:val="32"/>
                <w:szCs w:val="22"/>
              </w:rPr>
              <w:t>Alt-2: PUCCH-SR resource associated with failed BFD-RS set, association details FFS</w:t>
            </w:r>
          </w:p>
          <w:p>
            <w:pPr>
              <w:numPr>
                <w:ilvl w:val="1"/>
                <w:numId w:val="16"/>
              </w:numPr>
              <w:snapToGrid w:val="0"/>
              <w:spacing w:before="0" w:beforeLines="0" w:after="0" w:line="240" w:lineRule="auto"/>
              <w:rPr>
                <w:rFonts w:eastAsia="DengXian" w:cs="Times"/>
                <w:bCs/>
                <w:iCs/>
                <w:kern w:val="32"/>
                <w:szCs w:val="22"/>
              </w:rPr>
            </w:pPr>
            <w:r>
              <w:rPr>
                <w:rFonts w:eastAsia="DengXian" w:cs="Times"/>
                <w:bCs/>
                <w:iCs/>
                <w:kern w:val="32"/>
                <w:szCs w:val="22"/>
              </w:rPr>
              <w:t>Alt-3: Leave it up to UE implementation</w:t>
            </w:r>
          </w:p>
          <w:p>
            <w:pPr>
              <w:numPr>
                <w:ilvl w:val="0"/>
                <w:numId w:val="20"/>
              </w:numPr>
              <w:snapToGrid w:val="0"/>
              <w:spacing w:before="0" w:beforeLines="0" w:after="0" w:line="240" w:lineRule="auto"/>
            </w:pPr>
            <w:r>
              <w:t>Note: PUCCH-SR resource is PUCCH resource carrying SR</w:t>
            </w:r>
          </w:p>
          <w:p>
            <w:pPr>
              <w:numPr>
                <w:ilvl w:val="0"/>
                <w:numId w:val="20"/>
              </w:numPr>
              <w:snapToGrid w:val="0"/>
              <w:spacing w:before="0" w:beforeLines="0" w:after="0" w:line="240" w:lineRule="auto"/>
            </w:pPr>
            <w:r>
              <w:t>FFS: Whether two PUCCH-SR resources are under the same or different SR resource configuration or SR configuration (eventual decision may or may not happen in RAN1)</w:t>
            </w:r>
          </w:p>
          <w:p>
            <w:pPr>
              <w:spacing w:before="120"/>
            </w:pPr>
            <w:r>
              <w:t>Select one of the following alternatives with possible modification in RAN1#106-e</w:t>
            </w:r>
          </w:p>
          <w:p>
            <w:pPr>
              <w:pStyle w:val="113"/>
              <w:numPr>
                <w:ilvl w:val="0"/>
                <w:numId w:val="12"/>
              </w:numPr>
              <w:snapToGrid w:val="0"/>
              <w:spacing w:before="120"/>
              <w:ind w:firstLineChars="0"/>
              <w:contextualSpacing/>
              <w:rPr>
                <w:rFonts w:cs="Times"/>
              </w:rPr>
            </w:pPr>
            <w:r>
              <w:rPr>
                <w:rFonts w:cs="Times"/>
              </w:rPr>
              <w:t>Alt 2.5.2 A:</w:t>
            </w:r>
          </w:p>
          <w:p>
            <w:pPr>
              <w:pStyle w:val="113"/>
              <w:numPr>
                <w:ilvl w:val="1"/>
                <w:numId w:val="12"/>
              </w:numPr>
              <w:snapToGrid w:val="0"/>
              <w:spacing w:before="120"/>
              <w:ind w:firstLineChars="0"/>
              <w:contextualSpacing/>
              <w:rPr>
                <w:rFonts w:cs="Times"/>
              </w:rPr>
            </w:pPr>
            <w:r>
              <w:rPr>
                <w:rFonts w:cs="Times"/>
              </w:rPr>
              <w:t>On PUCCH-SR resource selection rule when SR is triggered and 2 PUCCH-SR resources are configured, there is no consensus to adopt alt-1 or alt-2. PUCCH-SR resource selection is up to UE implementation.</w:t>
            </w:r>
          </w:p>
          <w:p>
            <w:pPr>
              <w:pStyle w:val="113"/>
              <w:numPr>
                <w:ilvl w:val="0"/>
                <w:numId w:val="12"/>
              </w:numPr>
              <w:snapToGrid w:val="0"/>
              <w:spacing w:before="120"/>
              <w:ind w:firstLineChars="0"/>
              <w:contextualSpacing/>
              <w:rPr>
                <w:rFonts w:cs="Times"/>
              </w:rPr>
            </w:pPr>
            <w:r>
              <w:rPr>
                <w:rFonts w:cs="Times"/>
              </w:rPr>
              <w:t>Alt 2.5.2 B: </w:t>
            </w:r>
          </w:p>
          <w:p>
            <w:pPr>
              <w:pStyle w:val="113"/>
              <w:numPr>
                <w:ilvl w:val="1"/>
                <w:numId w:val="12"/>
              </w:numPr>
              <w:snapToGrid w:val="0"/>
              <w:spacing w:before="120"/>
              <w:ind w:firstLineChars="0"/>
              <w:contextualSpacing/>
              <w:rPr>
                <w:rFonts w:cs="Times"/>
              </w:rPr>
            </w:pPr>
            <w:r>
              <w:rPr>
                <w:rFonts w:cs="Times"/>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pPr>
              <w:pStyle w:val="113"/>
              <w:numPr>
                <w:ilvl w:val="0"/>
                <w:numId w:val="12"/>
              </w:numPr>
              <w:snapToGrid w:val="0"/>
              <w:spacing w:before="120"/>
              <w:ind w:firstLineChars="0"/>
              <w:contextualSpacing/>
              <w:rPr>
                <w:rFonts w:cs="Times"/>
              </w:rPr>
            </w:pPr>
            <w:r>
              <w:rPr>
                <w:rFonts w:cs="Times"/>
              </w:rPr>
              <w:t>Alt 2.5.2 C: </w:t>
            </w:r>
          </w:p>
          <w:p>
            <w:pPr>
              <w:pStyle w:val="113"/>
              <w:numPr>
                <w:ilvl w:val="1"/>
                <w:numId w:val="12"/>
              </w:numPr>
              <w:snapToGrid w:val="0"/>
              <w:spacing w:before="120"/>
              <w:ind w:firstLineChars="0"/>
              <w:contextualSpacing/>
              <w:rPr>
                <w:rFonts w:cs="Times"/>
              </w:rPr>
            </w:pPr>
            <w:r>
              <w:rPr>
                <w:rFonts w:cs="Times"/>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pPr>
              <w:pStyle w:val="113"/>
              <w:numPr>
                <w:ilvl w:val="0"/>
                <w:numId w:val="12"/>
              </w:numPr>
              <w:snapToGrid w:val="0"/>
              <w:spacing w:before="120"/>
              <w:ind w:firstLineChars="0"/>
              <w:contextualSpacing/>
              <w:rPr>
                <w:rFonts w:cs="Times"/>
              </w:rPr>
            </w:pPr>
            <w:r>
              <w:rPr>
                <w:rFonts w:cs="Times"/>
              </w:rPr>
              <w:t>Alt 2.5.2 D: </w:t>
            </w:r>
          </w:p>
          <w:p>
            <w:pPr>
              <w:pStyle w:val="113"/>
              <w:numPr>
                <w:ilvl w:val="1"/>
                <w:numId w:val="12"/>
              </w:numPr>
              <w:snapToGrid w:val="0"/>
              <w:spacing w:before="120"/>
              <w:ind w:firstLineChars="0"/>
              <w:contextualSpacing/>
              <w:rPr>
                <w:rFonts w:cs="Times"/>
              </w:rPr>
            </w:pPr>
            <w:bookmarkStart w:id="2" w:name="_Hlk73050134"/>
            <w:r>
              <w:rPr>
                <w:rFonts w:cs="Times"/>
              </w:rPr>
              <w:t>Revert the past agreement on supporting configuration of up to 2 PUCCH-SR resources. A UE can be configured up to 1 PUCCH-SR resource in a cell group.</w:t>
            </w:r>
            <w:bookmarkEnd w:id="2"/>
            <w:r>
              <w:rPr>
                <w:rFonts w:cs="Times"/>
              </w:rPr>
              <w:t xml:space="preserve"> </w:t>
            </w:r>
          </w:p>
          <w:p>
            <w:pPr>
              <w:pStyle w:val="114"/>
              <w:numPr>
                <w:ilvl w:val="255"/>
                <w:numId w:val="0"/>
              </w:numPr>
              <w:snapToGrid w:val="0"/>
              <w:spacing w:before="0" w:beforeLines="0" w:beforeAutospacing="0" w:after="0" w:afterAutospacing="0" w:line="240" w:lineRule="auto"/>
              <w:rPr>
                <w:rFonts w:cs="Times"/>
                <w:sz w:val="2"/>
                <w:szCs w:val="2"/>
              </w:rPr>
            </w:pPr>
          </w:p>
        </w:tc>
      </w:tr>
    </w:tbl>
    <w:p>
      <w:pPr>
        <w:spacing w:before="120" w:line="271" w:lineRule="auto"/>
        <w:ind w:right="11"/>
      </w:pPr>
      <w:r>
        <w:t>When two dedicated PUCCH-SR resources are configured, the association between one of two PUCCH</w:t>
      </w:r>
      <w:r>
        <w:rPr>
          <w:rFonts w:hint="eastAsia"/>
        </w:rPr>
        <w:t>-</w:t>
      </w:r>
      <w:r>
        <w:t xml:space="preserve">SR resources and respective </w:t>
      </w:r>
      <w:r>
        <w:rPr>
          <w:rFonts w:hint="eastAsia"/>
          <w:bCs/>
          <w:i/>
        </w:rPr>
        <w:t>CORESETPoolIndex</w:t>
      </w:r>
      <w:r>
        <w:rPr>
          <w:rFonts w:hint="eastAsia"/>
        </w:rPr>
        <w:t xml:space="preserve"> should be enhanced</w:t>
      </w:r>
      <w:r>
        <w:t>. The configuration of spatial relation of PUCCH SR resource(s) is up to gNB implementation. Besides, t</w:t>
      </w:r>
      <w:r>
        <w:rPr>
          <w:rFonts w:hint="eastAsia"/>
        </w:rPr>
        <w:t xml:space="preserve">here is </w:t>
      </w:r>
      <w:r>
        <w:t xml:space="preserve">on-going </w:t>
      </w:r>
      <w:r>
        <w:rPr>
          <w:rFonts w:hint="eastAsia"/>
        </w:rPr>
        <w:t>discussion about enhancements of PUCCH transmitted on other SCell</w:t>
      </w:r>
      <w:r>
        <w:t>(s)</w:t>
      </w:r>
      <w:r>
        <w:rPr>
          <w:rFonts w:hint="eastAsia"/>
        </w:rPr>
        <w:t xml:space="preserve"> besides </w:t>
      </w:r>
      <w:r>
        <w:t>SpCell,</w:t>
      </w:r>
      <w:r>
        <w:rPr>
          <w:rFonts w:hint="eastAsia"/>
        </w:rPr>
        <w:t xml:space="preserve"> in Rel-17</w:t>
      </w:r>
      <w:r>
        <w:t xml:space="preserve"> WID on Enhanced Industrial Internet of Things (IoT) and URLLC. Once that this enhancement is stable,</w:t>
      </w:r>
      <w:r>
        <w:rPr>
          <w:rFonts w:hint="eastAsia"/>
        </w:rPr>
        <w:t xml:space="preserve"> we can consider to boost the robustness </w:t>
      </w:r>
      <w:r>
        <w:t xml:space="preserve">and configuration flexibility </w:t>
      </w:r>
      <w:r>
        <w:rPr>
          <w:rFonts w:hint="eastAsia"/>
        </w:rPr>
        <w:t>of PUCCH-SR</w:t>
      </w:r>
      <w:r>
        <w:t>(s)</w:t>
      </w:r>
      <w:r>
        <w:rPr>
          <w:rFonts w:hint="eastAsia"/>
        </w:rPr>
        <w:t xml:space="preserve"> for BFR</w:t>
      </w:r>
      <w:r>
        <w:t xml:space="preserve"> accordingly</w:t>
      </w:r>
      <w:r>
        <w:rPr>
          <w:rFonts w:hint="eastAsia"/>
        </w:rPr>
        <w:t>.</w:t>
      </w:r>
    </w:p>
    <w:p>
      <w:pPr>
        <w:numPr>
          <w:ilvl w:val="255"/>
          <w:numId w:val="0"/>
        </w:numPr>
        <w:snapToGrid w:val="0"/>
        <w:spacing w:before="120" w:afterLines="50"/>
      </w:pPr>
      <w:r>
        <w:rPr>
          <w:rFonts w:hint="eastAsia"/>
        </w:rPr>
        <w:t xml:space="preserve">In Rel-16, </w:t>
      </w:r>
      <w:r>
        <w:t>PUCCH-</w:t>
      </w:r>
      <w:r>
        <w:rPr>
          <w:rFonts w:hint="eastAsia"/>
        </w:rPr>
        <w:t>SR</w:t>
      </w:r>
      <w:r>
        <w:t xml:space="preserve"> for BFR</w:t>
      </w:r>
      <w:r>
        <w:rPr>
          <w:rFonts w:hint="eastAsia"/>
        </w:rPr>
        <w:t xml:space="preserve"> is transmitted in</w:t>
      </w:r>
      <w:r>
        <w:t xml:space="preserve"> the</w:t>
      </w:r>
      <w:r>
        <w:rPr>
          <w:rFonts w:hint="eastAsia"/>
        </w:rPr>
        <w:t xml:space="preserve"> case that at least one of SCell</w:t>
      </w:r>
      <w:r>
        <w:t>-</w:t>
      </w:r>
      <w:r>
        <w:rPr>
          <w:rFonts w:hint="eastAsia"/>
        </w:rPr>
        <w:t xml:space="preserve">BFR </w:t>
      </w:r>
      <w:r>
        <w:t>procedure</w:t>
      </w:r>
      <w:r>
        <w:rPr>
          <w:rFonts w:hint="eastAsia"/>
        </w:rPr>
        <w:t xml:space="preserve"> is triggered and there is no available PUSCH. </w:t>
      </w:r>
      <w:r>
        <w:t>In general, PUCCH-SR</w:t>
      </w:r>
      <w:r>
        <w:rPr>
          <w:rFonts w:hint="eastAsia"/>
        </w:rPr>
        <w:t xml:space="preserve"> is </w:t>
      </w:r>
      <w:r>
        <w:t xml:space="preserve">transmitted </w:t>
      </w:r>
      <w:r>
        <w:rPr>
          <w:rFonts w:hint="eastAsia"/>
        </w:rPr>
        <w:t xml:space="preserve">on </w:t>
      </w:r>
      <w:r>
        <w:t>SpCell</w:t>
      </w:r>
      <w:r>
        <w:rPr>
          <w:rFonts w:hint="eastAsia"/>
        </w:rPr>
        <w:t xml:space="preserve">. </w:t>
      </w:r>
      <w:r>
        <w:t>In other words, for the SCell-BFR procedure, we have a basic assumption that SpCell does not experience any beam failure in such a case</w:t>
      </w:r>
      <w:r>
        <w:rPr>
          <w:rFonts w:hint="eastAsia"/>
        </w:rPr>
        <w:t xml:space="preserve">. </w:t>
      </w:r>
    </w:p>
    <w:p>
      <w:pPr>
        <w:numPr>
          <w:ilvl w:val="255"/>
          <w:numId w:val="0"/>
        </w:numPr>
        <w:snapToGrid w:val="0"/>
        <w:spacing w:before="120" w:afterLines="50"/>
      </w:pPr>
      <w:r>
        <w:rPr>
          <w:rFonts w:hint="eastAsia"/>
        </w:rPr>
        <w:t xml:space="preserve">When </w:t>
      </w:r>
      <w:r>
        <w:t>SpCell</w:t>
      </w:r>
      <w:r>
        <w:rPr>
          <w:rFonts w:hint="eastAsia"/>
        </w:rPr>
        <w:t xml:space="preserve"> is configured with two TRPs, the condition to trigger PRACH for BFR should be studied further considering reserved dedicated PRACH resource</w:t>
      </w:r>
      <w:r>
        <w:t>(s)</w:t>
      </w:r>
      <w:r>
        <w:rPr>
          <w:rFonts w:hint="eastAsia"/>
        </w:rPr>
        <w:t xml:space="preserve">, </w:t>
      </w:r>
      <w:r>
        <w:t>co-ordination</w:t>
      </w:r>
      <w:r>
        <w:rPr>
          <w:rFonts w:hint="eastAsia"/>
        </w:rPr>
        <w:t xml:space="preserve"> between two TRPs and recovery delay.</w:t>
      </w:r>
      <w:r>
        <w:t xml:space="preserve"> </w:t>
      </w:r>
      <w:r>
        <w:rPr>
          <w:rFonts w:hint="eastAsia"/>
        </w:rPr>
        <w:t xml:space="preserve">In order to clarify the </w:t>
      </w:r>
      <w:r>
        <w:t>association between PUCCH</w:t>
      </w:r>
      <w:r>
        <w:rPr>
          <w:rFonts w:hint="eastAsia"/>
        </w:rPr>
        <w:t>-</w:t>
      </w:r>
      <w:r>
        <w:t>SR resources and CORESETPoolIndex</w:t>
      </w:r>
      <w:r>
        <w:rPr>
          <w:rFonts w:hint="eastAsia"/>
        </w:rPr>
        <w:t>, we must have a clear framework for the condition to trigger PRACH firstly</w:t>
      </w:r>
      <w:r>
        <w:t>, i.e., when both TRPs of SpCell fail</w:t>
      </w:r>
      <w:r>
        <w:rPr>
          <w:rFonts w:hint="eastAsia"/>
        </w:rPr>
        <w:t>.</w:t>
      </w:r>
    </w:p>
    <w:p>
      <w:pPr>
        <w:spacing w:before="120" w:line="271" w:lineRule="auto"/>
        <w:ind w:right="11"/>
        <w:rPr>
          <w:bCs/>
          <w:i/>
        </w:rPr>
      </w:pPr>
      <w:r>
        <w:rPr>
          <w:b/>
          <w:i/>
        </w:rPr>
        <w:t xml:space="preserve">Proposal </w:t>
      </w:r>
      <w:r>
        <w:rPr>
          <w:rFonts w:hint="eastAsia"/>
          <w:b/>
          <w:i/>
        </w:rPr>
        <w:t>9</w:t>
      </w:r>
      <w:r>
        <w:rPr>
          <w:b/>
          <w:i/>
        </w:rPr>
        <w:t>:</w:t>
      </w:r>
      <w:r>
        <w:rPr>
          <w:rFonts w:hint="eastAsia"/>
          <w:b/>
          <w:i/>
        </w:rPr>
        <w:t xml:space="preserve"> </w:t>
      </w:r>
      <w:r>
        <w:rPr>
          <w:bCs/>
          <w:i/>
        </w:rPr>
        <w:t>When up to two (or more) dedicated PUCCH-SR resources in a cell group are configured, association between one of PUCCH-SR resource(s) and CORESETPoolIndex should be supported for mDCI-mTRP.</w:t>
      </w:r>
    </w:p>
    <w:p>
      <w:pPr>
        <w:spacing w:before="120" w:line="271" w:lineRule="auto"/>
        <w:ind w:right="11"/>
        <w:rPr>
          <w:bCs/>
          <w:i/>
        </w:rPr>
      </w:pPr>
      <w:r>
        <w:rPr>
          <w:rFonts w:hint="eastAsia"/>
          <w:bCs/>
          <w:i/>
        </w:rPr>
        <w:t>-     In the case that one or more TRPs of S</w:t>
      </w:r>
      <w:r>
        <w:rPr>
          <w:bCs/>
          <w:i/>
        </w:rPr>
        <w:t>p</w:t>
      </w:r>
      <w:r>
        <w:rPr>
          <w:rFonts w:hint="eastAsia"/>
          <w:bCs/>
          <w:i/>
        </w:rPr>
        <w:t>Cell fails,</w:t>
      </w:r>
    </w:p>
    <w:p>
      <w:pPr>
        <w:numPr>
          <w:ilvl w:val="0"/>
          <w:numId w:val="21"/>
        </w:numPr>
        <w:spacing w:before="120" w:line="271" w:lineRule="auto"/>
        <w:ind w:right="11"/>
        <w:rPr>
          <w:bCs/>
          <w:i/>
        </w:rPr>
      </w:pPr>
      <w:r>
        <w:rPr>
          <w:rFonts w:hint="eastAsia"/>
          <w:bCs/>
          <w:i/>
        </w:rPr>
        <w:t>If one TRPs of S</w:t>
      </w:r>
      <w:r>
        <w:rPr>
          <w:bCs/>
          <w:i/>
        </w:rPr>
        <w:t>p</w:t>
      </w:r>
      <w:r>
        <w:rPr>
          <w:rFonts w:hint="eastAsia"/>
          <w:bCs/>
          <w:i/>
        </w:rPr>
        <w:t>Cell fails, PUCCH-SR resource associated with same CORESETPoolIndex as non-failed BFD-RS set (i.e., non-failed TRP) is transmitted.</w:t>
      </w:r>
    </w:p>
    <w:p>
      <w:pPr>
        <w:numPr>
          <w:ilvl w:val="0"/>
          <w:numId w:val="21"/>
        </w:numPr>
        <w:spacing w:before="120" w:line="271" w:lineRule="auto"/>
        <w:ind w:right="11"/>
        <w:rPr>
          <w:bCs/>
          <w:i/>
        </w:rPr>
      </w:pPr>
      <w:r>
        <w:rPr>
          <w:rFonts w:hint="eastAsia"/>
          <w:bCs/>
          <w:i/>
        </w:rPr>
        <w:t>If both TRPs of S</w:t>
      </w:r>
      <w:r>
        <w:rPr>
          <w:bCs/>
          <w:i/>
        </w:rPr>
        <w:t>p</w:t>
      </w:r>
      <w:r>
        <w:rPr>
          <w:rFonts w:hint="eastAsia"/>
          <w:bCs/>
          <w:i/>
        </w:rPr>
        <w:t>Cell fail, PRACH based BFR procedure is initialized.</w:t>
      </w:r>
    </w:p>
    <w:p>
      <w:pPr>
        <w:spacing w:before="120" w:line="271" w:lineRule="auto"/>
        <w:ind w:right="11"/>
        <w:rPr>
          <w:bCs/>
          <w:i/>
        </w:rPr>
      </w:pPr>
      <w:r>
        <w:rPr>
          <w:rFonts w:hint="eastAsia"/>
          <w:bCs/>
          <w:i/>
        </w:rPr>
        <w:t>-     In the case that one or more TRPs of Scell fails,</w:t>
      </w:r>
    </w:p>
    <w:p>
      <w:pPr>
        <w:numPr>
          <w:ilvl w:val="0"/>
          <w:numId w:val="22"/>
        </w:numPr>
        <w:spacing w:before="120" w:line="271" w:lineRule="auto"/>
        <w:ind w:right="11"/>
        <w:rPr>
          <w:bCs/>
          <w:i/>
        </w:rPr>
      </w:pPr>
      <w:r>
        <w:rPr>
          <w:bCs/>
          <w:i/>
        </w:rPr>
        <w:t>PUCCH-SR resource associated with same CORESETPoolIndex as failed BFD-RS set (i.e., failed TRP) is transmitted.</w:t>
      </w:r>
    </w:p>
    <w:p>
      <w:pPr>
        <w:spacing w:before="120"/>
      </w:pPr>
      <w:r>
        <w:t>In order to identify which TRP fails, the TRP information should be carried in the MAC-CE for TRP-specific BFR. Besides, regarding the MAC-CE for TRP-specific BFR, the overhead through introducing bitmap of serving cell indication in MAC-CE for TRP specific BFR can be reduced significantly. The serving cell sets associated with different TRP are different as shown in Figure 4. The bitmap of serving cell indication of a TRP in BFR MAC-CE should just consider the serving cell set associated with the TRP</w:t>
      </w:r>
      <w:r>
        <w:rPr>
          <w:rFonts w:hint="eastAsia"/>
        </w:rPr>
        <w:t>.</w:t>
      </w:r>
      <w:r>
        <w:t xml:space="preserve"> </w:t>
      </w:r>
      <w:r>
        <w:rPr>
          <w:rFonts w:hint="eastAsia"/>
        </w:rPr>
        <w:t>The serving cell set associated with a TRP can only include serving cells configured with beam failure parameter for the TRP</w:t>
      </w:r>
      <w:r>
        <w:t xml:space="preserve">. </w:t>
      </w:r>
    </w:p>
    <w:p>
      <w:pPr>
        <w:pStyle w:val="115"/>
        <w:snapToGrid w:val="0"/>
        <w:spacing w:before="60" w:beforeLines="25" w:after="60" w:afterLines="25"/>
        <w:ind w:firstLine="0" w:firstLineChars="0"/>
        <w:jc w:val="center"/>
      </w:pPr>
      <w:r>
        <w:object>
          <v:shape id="_x0000_i1028" o:spt="75" type="#_x0000_t75" style="height:163.65pt;width:98.2pt;" o:ole="t" filled="f" o:preferrelative="t" stroked="f" coordsize="21600,21600">
            <v:path/>
            <v:fill on="f" focussize="0,0"/>
            <v:stroke on="f" joinstyle="miter"/>
            <v:imagedata r:id="rId17" o:title=""/>
            <o:lock v:ext="edit" aspectratio="t"/>
            <w10:wrap type="none"/>
            <w10:anchorlock/>
          </v:shape>
          <o:OLEObject Type="Embed" ProgID="Visio.Drawing.11" ShapeID="_x0000_i1028" DrawAspect="Content" ObjectID="_1468075728" r:id="rId16">
            <o:LockedField>false</o:LockedField>
          </o:OLEObject>
        </w:object>
      </w:r>
    </w:p>
    <w:p>
      <w:pPr>
        <w:pStyle w:val="115"/>
        <w:snapToGrid w:val="0"/>
        <w:spacing w:before="60" w:beforeLines="25" w:after="60" w:afterLines="25"/>
        <w:ind w:firstLine="402"/>
        <w:jc w:val="center"/>
      </w:pPr>
      <w:r>
        <w:rPr>
          <w:b/>
        </w:rPr>
        <w:t>Figure</w:t>
      </w:r>
      <w:r>
        <w:rPr>
          <w:rFonts w:hint="eastAsia"/>
          <w:b/>
        </w:rPr>
        <w:t xml:space="preserve"> </w:t>
      </w:r>
      <w:r>
        <w:rPr>
          <w:b/>
        </w:rPr>
        <w:t>4</w:t>
      </w:r>
      <w:r>
        <w:rPr>
          <w:bCs/>
        </w:rPr>
        <w:t xml:space="preserve"> </w:t>
      </w:r>
      <w:r>
        <w:t>Different TRP(s) are associated with different serving cell sets</w:t>
      </w:r>
    </w:p>
    <w:p>
      <w:pPr>
        <w:numPr>
          <w:ilvl w:val="255"/>
          <w:numId w:val="0"/>
        </w:numPr>
        <w:spacing w:before="120"/>
      </w:pPr>
      <w:r>
        <w:t xml:space="preserve">When UE reports two q_news each of which is for a TRP, both separate BFR MAC-CE and joint BFR MAC-CE should be considered. </w:t>
      </w:r>
    </w:p>
    <w:p>
      <w:pPr>
        <w:numPr>
          <w:ilvl w:val="0"/>
          <w:numId w:val="9"/>
        </w:numPr>
        <w:spacing w:before="120" w:after="0"/>
        <w:ind w:left="363" w:hanging="363"/>
      </w:pPr>
      <w:r>
        <w:t>Regarding separate BFR MAC-CE, the MAC-CE only contains that BFR information for a single TRP, and it is suitable for the case of non-ideal backhaul and/or separate UL resources for each of TRP</w:t>
      </w:r>
      <w:r>
        <w:rPr>
          <w:rFonts w:hint="eastAsia"/>
        </w:rPr>
        <w:t>s</w:t>
      </w:r>
      <w:r>
        <w:t xml:space="preserve">. </w:t>
      </w:r>
      <w:r>
        <w:rPr>
          <w:rFonts w:hint="eastAsia"/>
        </w:rPr>
        <w:t>In this case</w:t>
      </w:r>
      <w:r>
        <w:t>,</w:t>
      </w:r>
      <w:r>
        <w:rPr>
          <w:rFonts w:hint="eastAsia"/>
        </w:rPr>
        <w:t xml:space="preserve"> it assume</w:t>
      </w:r>
      <w:r>
        <w:t>s</w:t>
      </w:r>
      <w:r>
        <w:rPr>
          <w:rFonts w:hint="eastAsia"/>
        </w:rPr>
        <w:t xml:space="preserve"> that the separate BFR MAC-CE can be successfully transmitted to the failed TRP on a non</w:t>
      </w:r>
      <w:r>
        <w:t>-</w:t>
      </w:r>
      <w:r>
        <w:rPr>
          <w:rFonts w:hint="eastAsia"/>
        </w:rPr>
        <w:t xml:space="preserve">failed serving cell (such as </w:t>
      </w:r>
      <w:r>
        <w:t>SpCell</w:t>
      </w:r>
      <w:r>
        <w:rPr>
          <w:rFonts w:hint="eastAsia"/>
        </w:rPr>
        <w:t xml:space="preserve">). </w:t>
      </w:r>
    </w:p>
    <w:p>
      <w:pPr>
        <w:numPr>
          <w:ilvl w:val="0"/>
          <w:numId w:val="9"/>
        </w:numPr>
        <w:spacing w:before="120" w:after="0"/>
        <w:ind w:left="363" w:hanging="363"/>
      </w:pPr>
      <w:r>
        <w:t>Regarding joint BFR MAC-CE, the MAC-CE can contain both BFR information for two TRPs, and it is suitable for the case of ideal backhaul.</w:t>
      </w:r>
    </w:p>
    <w:p>
      <w:pPr>
        <w:numPr>
          <w:ilvl w:val="255"/>
          <w:numId w:val="0"/>
        </w:numPr>
        <w:spacing w:before="120"/>
        <w:rPr>
          <w:i/>
        </w:rPr>
      </w:pPr>
      <w:r>
        <w:rPr>
          <w:b/>
          <w:i/>
        </w:rPr>
        <w:t xml:space="preserve">Proposal </w:t>
      </w:r>
      <w:r>
        <w:rPr>
          <w:rFonts w:hint="eastAsia"/>
          <w:b/>
          <w:i/>
        </w:rPr>
        <w:t>10</w:t>
      </w:r>
      <w:r>
        <w:rPr>
          <w:b/>
          <w:i/>
        </w:rPr>
        <w:t xml:space="preserve">: </w:t>
      </w:r>
      <w:r>
        <w:rPr>
          <w:i/>
        </w:rPr>
        <w:t>For MAC-CE for TRP-specific BFR, the TRP information, i.e., CORESETPoolI</w:t>
      </w:r>
      <w:r>
        <w:rPr>
          <w:rFonts w:hint="eastAsia"/>
          <w:i/>
        </w:rPr>
        <w:t>ndex</w:t>
      </w:r>
      <w:r>
        <w:rPr>
          <w:i/>
        </w:rPr>
        <w:t xml:space="preserve"> of a failed TRP, should be provided explicitly.</w:t>
      </w:r>
    </w:p>
    <w:p>
      <w:pPr>
        <w:numPr>
          <w:ilvl w:val="0"/>
          <w:numId w:val="17"/>
        </w:numPr>
        <w:spacing w:before="120" w:after="0"/>
        <w:ind w:left="360"/>
      </w:pPr>
      <w:r>
        <w:rPr>
          <w:i/>
        </w:rPr>
        <w:t>The bitmap of serving cell indication in BFR MAC-CE should correspond to a serving cell set associated with a TRP</w:t>
      </w:r>
      <w:r>
        <w:rPr>
          <w:rFonts w:hint="eastAsia"/>
          <w:i/>
        </w:rPr>
        <w:t>,</w:t>
      </w:r>
      <w:r>
        <w:rPr>
          <w:i/>
        </w:rPr>
        <w:t xml:space="preserve"> </w:t>
      </w:r>
      <w:r>
        <w:rPr>
          <w:rFonts w:hint="eastAsia"/>
          <w:i/>
        </w:rPr>
        <w:t>wherein the serving cell set includes serving cells configured with beam failure parameter for the TPP</w:t>
      </w:r>
      <w:r>
        <w:rPr>
          <w:rFonts w:hint="eastAsia"/>
          <w:bCs/>
          <w:i/>
        </w:rPr>
        <w:t>.</w:t>
      </w:r>
    </w:p>
    <w:p>
      <w:pPr>
        <w:numPr>
          <w:ilvl w:val="0"/>
          <w:numId w:val="17"/>
        </w:numPr>
        <w:spacing w:before="120" w:after="0"/>
        <w:ind w:left="360"/>
        <w:rPr>
          <w:i/>
          <w:iCs/>
        </w:rPr>
      </w:pPr>
      <w:r>
        <w:rPr>
          <w:i/>
          <w:iCs/>
        </w:rPr>
        <w:t xml:space="preserve">FFS: design of </w:t>
      </w:r>
      <w:r>
        <w:rPr>
          <w:i/>
        </w:rPr>
        <w:t>MAC</w:t>
      </w:r>
      <w:r>
        <w:rPr>
          <w:i/>
          <w:iCs/>
        </w:rPr>
        <w:t>-CE, e.g., a single MAC-CE for both TRPs and</w:t>
      </w:r>
      <w:r>
        <w:rPr>
          <w:rFonts w:hint="eastAsia"/>
          <w:i/>
          <w:iCs/>
        </w:rPr>
        <w:t xml:space="preserve"> </w:t>
      </w:r>
      <w:r>
        <w:rPr>
          <w:i/>
          <w:iCs/>
        </w:rPr>
        <w:t>two separate MAC-CE for each of TRPs.</w:t>
      </w:r>
    </w:p>
    <w:p>
      <w:pPr>
        <w:numPr>
          <w:ilvl w:val="1"/>
          <w:numId w:val="1"/>
        </w:numPr>
        <w:snapToGrid w:val="0"/>
        <w:spacing w:before="120" w:afterLines="50"/>
        <w:outlineLvl w:val="1"/>
        <w:rPr>
          <w:b/>
          <w:sz w:val="28"/>
        </w:rPr>
      </w:pPr>
      <w:r>
        <w:rPr>
          <w:b/>
          <w:sz w:val="28"/>
        </w:rPr>
        <w:t>UE behavior after receiving gNB response</w:t>
      </w:r>
    </w:p>
    <w:p>
      <w:pPr>
        <w:spacing w:before="120" w:line="271" w:lineRule="auto"/>
        <w:ind w:right="11"/>
      </w:pPr>
      <w:r>
        <w:t>In RAN1#10</w:t>
      </w:r>
      <w:r>
        <w:rPr>
          <w:rFonts w:hint="eastAsia"/>
        </w:rPr>
        <w:t>4</w:t>
      </w:r>
      <w:r>
        <w:t xml:space="preserve">-e, </w:t>
      </w:r>
      <w:r>
        <w:rPr>
          <w:rFonts w:hint="eastAsia"/>
        </w:rPr>
        <w:t>BFRQ response from gNB</w:t>
      </w:r>
      <w:r>
        <w:t xml:space="preserve"> has been discussed, and the following agreement was reached. In this section, we discuss the UE behavior after receiving gNB response.</w:t>
      </w:r>
    </w:p>
    <w:tbl>
      <w:tblPr>
        <w:tblStyle w:val="24"/>
        <w:tblW w:w="935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35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0" w:type="dxa"/>
          </w:tcPr>
          <w:p>
            <w:pPr>
              <w:pStyle w:val="21"/>
              <w:spacing w:before="0" w:beforeLines="0" w:beforeAutospacing="0" w:after="0" w:afterAutospacing="0" w:line="240" w:lineRule="auto"/>
              <w:rPr>
                <w:b/>
                <w:sz w:val="20"/>
                <w:u w:val="single"/>
              </w:rPr>
            </w:pPr>
            <w:r>
              <w:rPr>
                <w:rFonts w:ascii="Times New Roman" w:hAnsi="Times New Roman" w:cs="Times New Roman"/>
                <w:b/>
                <w:sz w:val="20"/>
                <w:szCs w:val="20"/>
                <w:u w:val="single"/>
              </w:rPr>
              <w:t>Agreement</w:t>
            </w:r>
          </w:p>
          <w:p>
            <w:pPr>
              <w:pStyle w:val="114"/>
              <w:snapToGrid w:val="0"/>
              <w:spacing w:before="0" w:beforeLines="0" w:beforeAutospacing="0" w:after="0" w:afterAutospacing="0" w:line="240" w:lineRule="auto"/>
              <w:rPr>
                <w:rFonts w:ascii="Times New Roman" w:hAnsi="Times New Roman"/>
              </w:rPr>
            </w:pPr>
            <w:r>
              <w:rPr>
                <w:rFonts w:ascii="Times New Roman" w:hAnsi="Times New Roman"/>
              </w:rPr>
              <w:t xml:space="preserve">BFRQ response </w:t>
            </w:r>
          </w:p>
          <w:p>
            <w:pPr>
              <w:pStyle w:val="114"/>
              <w:numPr>
                <w:ilvl w:val="0"/>
                <w:numId w:val="18"/>
              </w:numPr>
              <w:snapToGrid w:val="0"/>
              <w:spacing w:before="0" w:beforeLines="0" w:beforeAutospacing="0" w:after="0" w:afterAutospacing="0" w:line="240" w:lineRule="auto"/>
              <w:rPr>
                <w:rFonts w:cs="Times"/>
              </w:rPr>
            </w:pPr>
            <w:r>
              <w:rPr>
                <w:rFonts w:ascii="Times New Roman" w:hAnsi="Times New Roman" w:cs="Times New Roman"/>
              </w:rPr>
              <w:t>Support at least the same gNB response as in Rel.16 SCell BFR (i.e. DCI with toggled NDI scheduling a same HARQ process ID as the PUSCH carrying BFRQ MAC-CE)</w:t>
            </w:r>
          </w:p>
        </w:tc>
      </w:tr>
    </w:tbl>
    <w:p>
      <w:pPr>
        <w:numPr>
          <w:ilvl w:val="255"/>
          <w:numId w:val="0"/>
        </w:numPr>
        <w:snapToGrid w:val="0"/>
        <w:spacing w:before="120" w:afterLines="50"/>
      </w:pPr>
      <w:r>
        <w:rPr>
          <w:rFonts w:hint="eastAsia"/>
        </w:rPr>
        <w:t xml:space="preserve">After receiving response from gNB </w:t>
      </w:r>
      <w:r>
        <w:t>side</w:t>
      </w:r>
      <w:r>
        <w:rPr>
          <w:rFonts w:hint="eastAsia"/>
        </w:rPr>
        <w:t xml:space="preserve">, the UE </w:t>
      </w:r>
      <w:r>
        <w:t>shall</w:t>
      </w:r>
      <w:r>
        <w:rPr>
          <w:rFonts w:hint="eastAsia"/>
        </w:rPr>
        <w:t xml:space="preserve"> update the beam and power control only for CORESET and PUCCH corresponding to each failed TRP respectively. The beam and power control for CORESET and PUCCH corresponding to non-failed TRP</w:t>
      </w:r>
      <w:r>
        <w:t xml:space="preserve"> should not</w:t>
      </w:r>
      <w:r>
        <w:rPr>
          <w:rFonts w:hint="eastAsia"/>
        </w:rPr>
        <w:t xml:space="preserve"> be updated. </w:t>
      </w:r>
      <w:r>
        <w:t>Therefore,</w:t>
      </w:r>
      <w:r>
        <w:rPr>
          <w:rFonts w:hint="eastAsia"/>
        </w:rPr>
        <w:t xml:space="preserve"> we need to set up</w:t>
      </w:r>
      <w:r>
        <w:t xml:space="preserve"> the</w:t>
      </w:r>
      <w:r>
        <w:rPr>
          <w:rFonts w:hint="eastAsia"/>
        </w:rPr>
        <w:t xml:space="preserve"> relationship between two candidate RS sets and two sets of CORESET/PUCCH as shown in Figure 3. </w:t>
      </w:r>
    </w:p>
    <w:p>
      <w:pPr>
        <w:numPr>
          <w:ilvl w:val="0"/>
          <w:numId w:val="9"/>
        </w:numPr>
        <w:snapToGrid w:val="0"/>
        <w:spacing w:before="120" w:afterLines="50"/>
        <w:ind w:left="363" w:hanging="363"/>
      </w:pPr>
      <w:r>
        <w:rPr>
          <w:rFonts w:hint="eastAsia"/>
        </w:rPr>
        <w:t>We can configure</w:t>
      </w:r>
      <w:r>
        <w:rPr>
          <w:rFonts w:hint="eastAsia"/>
          <w:i/>
        </w:rPr>
        <w:t xml:space="preserve"> </w:t>
      </w:r>
      <w:r>
        <w:rPr>
          <w:i/>
          <w:iCs/>
        </w:rPr>
        <w:t>CORESETPoolIndex</w:t>
      </w:r>
      <w:r>
        <w:rPr>
          <w:rFonts w:hint="eastAsia"/>
        </w:rPr>
        <w:t xml:space="preserve"> for a PUCCH group configured for updating spatial relation simultaneously.</w:t>
      </w:r>
    </w:p>
    <w:p>
      <w:pPr>
        <w:numPr>
          <w:ilvl w:val="0"/>
          <w:numId w:val="9"/>
        </w:numPr>
        <w:snapToGrid w:val="0"/>
        <w:spacing w:before="120" w:afterLines="50"/>
        <w:ind w:left="363" w:hanging="363"/>
      </w:pPr>
      <w:r>
        <w:t>Besides, w</w:t>
      </w:r>
      <w:r>
        <w:rPr>
          <w:rFonts w:hint="eastAsia"/>
        </w:rPr>
        <w:t>hen the UE can</w:t>
      </w:r>
      <w:r>
        <w:t xml:space="preserve"> NOT</w:t>
      </w:r>
      <w:r>
        <w:rPr>
          <w:rFonts w:hint="eastAsia"/>
        </w:rPr>
        <w:t xml:space="preserve"> select a new candidate RS for a failed TRP, </w:t>
      </w:r>
      <w:r>
        <w:t>the UE can</w:t>
      </w:r>
      <w:r>
        <w:rPr>
          <w:rFonts w:hint="eastAsia"/>
        </w:rPr>
        <w:t xml:space="preserve"> deactivate the failed TRP and stop reporting HARQ-ACK for the failed TRP. </w:t>
      </w:r>
    </w:p>
    <w:p>
      <w:pPr>
        <w:numPr>
          <w:ilvl w:val="255"/>
          <w:numId w:val="0"/>
        </w:numPr>
        <w:snapToGrid w:val="0"/>
        <w:spacing w:before="120"/>
      </w:pPr>
      <w:r>
        <w:rPr>
          <w:rFonts w:hint="eastAsia"/>
        </w:rPr>
        <w:t>For the beam fail recovery, after UE receives response from gNB within a period, UE can apply the new beam. In the current spec</w:t>
      </w:r>
      <w:r>
        <w:t>ification</w:t>
      </w:r>
      <w:r>
        <w:rPr>
          <w:rFonts w:hint="eastAsia"/>
        </w:rPr>
        <w:t xml:space="preserve">, a period of time is described as 28 symbols from a last symbol of a PDCCH reception with a DCI format scheduling a PUSCH transmission with a same HARQ process number as for the transmission of the first PUSCH and having a toggled NDI field value. </w:t>
      </w:r>
      <w:r>
        <w:t>Further,</w:t>
      </w:r>
      <w:r>
        <w:rPr>
          <w:rFonts w:hint="eastAsia"/>
        </w:rPr>
        <w:t xml:space="preserve"> the 28 symbols is based on the smallest SCS of the response receiving cell and the failed cell.</w:t>
      </w:r>
      <w:r>
        <w:t xml:space="preserve"> </w:t>
      </w:r>
      <w:r>
        <w:rPr>
          <w:rFonts w:hint="eastAsia"/>
        </w:rPr>
        <w:t>However, for MTRP beam fail recovery,</w:t>
      </w:r>
      <w:r>
        <w:t xml:space="preserve"> SCS configuration for the 28 symbols</w:t>
      </w:r>
      <w:r>
        <w:rPr>
          <w:rFonts w:hint="eastAsia"/>
        </w:rPr>
        <w:t xml:space="preserve"> needs to be further studied</w:t>
      </w:r>
      <w:r>
        <w:t xml:space="preserve"> due to the following reason.</w:t>
      </w:r>
    </w:p>
    <w:p>
      <w:pPr>
        <w:numPr>
          <w:ilvl w:val="0"/>
          <w:numId w:val="9"/>
        </w:numPr>
        <w:spacing w:before="120" w:after="0"/>
        <w:ind w:left="363" w:hanging="363"/>
      </w:pPr>
      <w:r>
        <w:rPr>
          <w:rFonts w:hint="eastAsia"/>
        </w:rPr>
        <w:t>For instance, one MAC-CE (like separate BFR MAC-CE) only can contain that BFR information (failed cells) for a single TRP, and then the UE can determine the the smallest SCS according to all failed cells corresponding to the TRP and the cell receiving the gNB response/PDCCH. For example, when TRP 0 fails on cell-1 and cell-2 as declared in the MAC-CE, UE can determine the the smallest SCS according cell-1 and cell-2 as well as the cell receiving the PDCCH as gNB response for the TRP 0.</w:t>
      </w:r>
    </w:p>
    <w:p>
      <w:pPr>
        <w:spacing w:before="120" w:line="271" w:lineRule="auto"/>
        <w:ind w:right="11"/>
        <w:rPr>
          <w:i/>
        </w:rPr>
      </w:pPr>
      <w:r>
        <w:rPr>
          <w:b/>
          <w:i/>
        </w:rPr>
        <w:t xml:space="preserve">Proposal </w:t>
      </w:r>
      <w:r>
        <w:rPr>
          <w:rFonts w:hint="eastAsia"/>
          <w:b/>
          <w:i/>
        </w:rPr>
        <w:t>11</w:t>
      </w:r>
      <w:r>
        <w:rPr>
          <w:b/>
          <w:i/>
        </w:rPr>
        <w:t>:</w:t>
      </w:r>
      <w:r>
        <w:rPr>
          <w:rFonts w:hint="eastAsia"/>
          <w:i/>
        </w:rPr>
        <w:t xml:space="preserve"> Th</w:t>
      </w:r>
      <w:r>
        <w:rPr>
          <w:i/>
        </w:rPr>
        <w:t>e beam</w:t>
      </w:r>
      <w:r>
        <w:rPr>
          <w:rFonts w:hint="eastAsia"/>
          <w:i/>
        </w:rPr>
        <w:t xml:space="preserve"> and power control</w:t>
      </w:r>
      <w:r>
        <w:rPr>
          <w:i/>
        </w:rPr>
        <w:t xml:space="preserve"> for CORESET/PUCCH should be updated according to a reported candidate RS, only if the CORESET/PUCCH is associated with the same CORESETPoolIndex corresponding to BFD and NBI RS sets.</w:t>
      </w:r>
    </w:p>
    <w:p>
      <w:pPr>
        <w:numPr>
          <w:ilvl w:val="0"/>
          <w:numId w:val="17"/>
        </w:numPr>
        <w:spacing w:before="120" w:after="0"/>
        <w:ind w:left="363" w:hanging="363"/>
        <w:rPr>
          <w:i/>
          <w:iCs/>
        </w:rPr>
      </w:pPr>
      <w:r>
        <w:rPr>
          <w:rFonts w:hint="eastAsia"/>
          <w:i/>
          <w:iCs/>
        </w:rPr>
        <w:t>CORESETPoolIndex</w:t>
      </w:r>
      <w:r>
        <w:rPr>
          <w:i/>
          <w:iCs/>
        </w:rPr>
        <w:t xml:space="preserve"> is introduced for PUCCH configuration, in order to initialize TRP-specific CORESET and PUCCH’s beam update</w:t>
      </w:r>
    </w:p>
    <w:p>
      <w:pPr>
        <w:numPr>
          <w:ilvl w:val="0"/>
          <w:numId w:val="17"/>
        </w:numPr>
        <w:spacing w:before="120" w:after="0"/>
        <w:ind w:left="363" w:hanging="363"/>
        <w:rPr>
          <w:i/>
          <w:iCs/>
        </w:rPr>
      </w:pPr>
      <w:r>
        <w:rPr>
          <w:i/>
          <w:iCs/>
        </w:rPr>
        <w:t>Deactivating CORESET(s) associated with the same CORESETPoolIndex, if no candidate RS can be identified.</w:t>
      </w:r>
    </w:p>
    <w:p>
      <w:pPr>
        <w:numPr>
          <w:ilvl w:val="0"/>
          <w:numId w:val="17"/>
        </w:numPr>
        <w:spacing w:before="120" w:after="0"/>
        <w:ind w:left="363" w:hanging="363"/>
        <w:rPr>
          <w:i/>
          <w:iCs/>
        </w:rPr>
      </w:pPr>
      <w:r>
        <w:rPr>
          <w:i/>
          <w:iCs/>
        </w:rPr>
        <w:t>SCS determination for 28 symbols should be further studied, e.g., to be per TRP.</w:t>
      </w:r>
    </w:p>
    <w:p>
      <w:pPr>
        <w:numPr>
          <w:ilvl w:val="0"/>
          <w:numId w:val="1"/>
        </w:numPr>
        <w:tabs>
          <w:tab w:val="clear" w:pos="432"/>
        </w:tabs>
        <w:snapToGrid w:val="0"/>
        <w:spacing w:before="120" w:afterLines="50"/>
        <w:ind w:left="425" w:hanging="425"/>
        <w:outlineLvl w:val="0"/>
        <w:rPr>
          <w:b/>
          <w:sz w:val="28"/>
        </w:rPr>
      </w:pPr>
      <w:bookmarkStart w:id="6" w:name="_GoBack"/>
      <w:bookmarkEnd w:id="6"/>
      <w:r>
        <w:rPr>
          <w:b/>
          <w:sz w:val="28"/>
        </w:rPr>
        <w:t>Conclusion</w:t>
      </w:r>
    </w:p>
    <w:p>
      <w:pPr>
        <w:snapToGrid w:val="0"/>
        <w:spacing w:before="120" w:afterLines="50"/>
        <w:rPr>
          <w:rFonts w:eastAsia="微软雅黑"/>
        </w:rPr>
      </w:pPr>
      <w:r>
        <w:rPr>
          <w:rFonts w:hint="eastAsia" w:eastAsia="微软雅黑"/>
        </w:rPr>
        <w:t xml:space="preserve">In this contribution, we provide </w:t>
      </w:r>
      <w:r>
        <w:rPr>
          <w:rFonts w:eastAsia="微软雅黑"/>
        </w:rPr>
        <w:t xml:space="preserve">the observations and proposals for </w:t>
      </w:r>
      <w:r>
        <w:rPr>
          <w:rFonts w:hint="eastAsia"/>
        </w:rPr>
        <w:t>enhancements</w:t>
      </w:r>
      <w:r>
        <w:rPr>
          <w:rFonts w:hint="eastAsia" w:eastAsia="微软雅黑"/>
        </w:rPr>
        <w:t xml:space="preserve"> on beam management for multi-TRP</w:t>
      </w:r>
      <w:r>
        <w:rPr>
          <w:rFonts w:eastAsia="微软雅黑"/>
        </w:rPr>
        <w:t>.</w:t>
      </w:r>
    </w:p>
    <w:p>
      <w:pPr>
        <w:spacing w:before="120" w:afterLines="50"/>
        <w:rPr>
          <w:b/>
          <w:i/>
        </w:rPr>
      </w:pPr>
      <w:r>
        <w:rPr>
          <w:b/>
          <w:i/>
        </w:rPr>
        <w:t xml:space="preserve">Observation </w:t>
      </w:r>
      <w:r>
        <w:rPr>
          <w:rFonts w:hint="eastAsia"/>
          <w:b/>
          <w:i/>
        </w:rPr>
        <w:t>1</w:t>
      </w:r>
      <w:r>
        <w:rPr>
          <w:b/>
          <w:i/>
        </w:rPr>
        <w:t xml:space="preserve">: </w:t>
      </w:r>
      <w:r>
        <w:rPr>
          <w:i/>
        </w:rPr>
        <w:t>From the evaluation results for group based reporting, it can be observed that:</w:t>
      </w:r>
    </w:p>
    <w:p>
      <w:pPr>
        <w:numPr>
          <w:ilvl w:val="0"/>
          <w:numId w:val="9"/>
        </w:numPr>
        <w:spacing w:before="120" w:after="0"/>
        <w:rPr>
          <w:i/>
          <w:iCs/>
        </w:rPr>
      </w:pPr>
      <w:r>
        <w:rPr>
          <w:i/>
          <w:iCs/>
        </w:rPr>
        <w:t>Increas</w:t>
      </w:r>
      <w:r>
        <w:rPr>
          <w:rFonts w:hint="eastAsia"/>
          <w:i/>
          <w:iCs/>
        </w:rPr>
        <w:t>ing</w:t>
      </w:r>
      <w:r>
        <w:rPr>
          <w:i/>
          <w:iCs/>
        </w:rPr>
        <w:t xml:space="preserve"> number of beams per group for Option 1 can bring significantly higher performance gain to combat blockage and UE mobility, especially for cell-edge UE in dense urban, through improving system flexibility with more candidate beams.</w:t>
      </w:r>
    </w:p>
    <w:p>
      <w:pPr>
        <w:numPr>
          <w:ilvl w:val="0"/>
          <w:numId w:val="9"/>
        </w:numPr>
        <w:spacing w:before="120" w:after="0"/>
        <w:rPr>
          <w:i/>
          <w:iCs/>
        </w:rPr>
      </w:pPr>
      <w:r>
        <w:rPr>
          <w:i/>
          <w:iCs/>
        </w:rPr>
        <w:t>Increas</w:t>
      </w:r>
      <w:r>
        <w:rPr>
          <w:rFonts w:hint="eastAsia"/>
          <w:i/>
          <w:iCs/>
        </w:rPr>
        <w:t>ing</w:t>
      </w:r>
      <w:r>
        <w:rPr>
          <w:i/>
          <w:iCs/>
        </w:rPr>
        <w:t xml:space="preserve"> number of groups for Option 1 can be more suitable for advanced UE with 3, 4 or more panels.</w:t>
      </w:r>
    </w:p>
    <w:p>
      <w:pPr>
        <w:spacing w:before="120"/>
        <w:rPr>
          <w:i/>
        </w:rPr>
      </w:pPr>
      <w:r>
        <w:rPr>
          <w:b/>
          <w:i/>
        </w:rPr>
        <w:t>Observation</w:t>
      </w:r>
      <w:r>
        <w:rPr>
          <w:rFonts w:hint="eastAsia"/>
          <w:b/>
          <w:i/>
        </w:rPr>
        <w:t xml:space="preserve"> 2:</w:t>
      </w:r>
      <w:r>
        <w:t xml:space="preserve"> </w:t>
      </w:r>
      <w:r>
        <w:rPr>
          <w:i/>
        </w:rPr>
        <w:t xml:space="preserve">Considering delay tolerant information for paring gNB Tx beam and UE panel, the benefit of </w:t>
      </w:r>
      <w:r>
        <w:rPr>
          <w:rFonts w:hint="eastAsia"/>
          <w:i/>
        </w:rPr>
        <w:t>Option 3 (Non-group based reporting)</w:t>
      </w:r>
      <w:r>
        <w:rPr>
          <w:i/>
        </w:rPr>
        <w:t xml:space="preserve"> enhanced solution(s) for multiple CSI reports is unclear for non-ideal backhaul, although the complexity of CSI configuration and reporting may be increased significantly due to associating reporting instances.</w:t>
      </w:r>
    </w:p>
    <w:p>
      <w:pPr>
        <w:numPr>
          <w:ilvl w:val="255"/>
          <w:numId w:val="0"/>
        </w:numPr>
        <w:snapToGrid w:val="0"/>
        <w:spacing w:before="120" w:afterLines="50"/>
        <w:rPr>
          <w:rFonts w:eastAsia="微软雅黑"/>
        </w:rPr>
      </w:pPr>
    </w:p>
    <w:p>
      <w:pPr>
        <w:overflowPunct w:val="0"/>
        <w:autoSpaceDE w:val="0"/>
        <w:autoSpaceDN w:val="0"/>
        <w:adjustRightInd w:val="0"/>
        <w:spacing w:before="120"/>
        <w:textAlignment w:val="baseline"/>
        <w:rPr>
          <w:i/>
          <w:iCs/>
        </w:rPr>
      </w:pPr>
      <w:r>
        <w:rPr>
          <w:b/>
          <w:i/>
        </w:rPr>
        <w:t>Proposal 1:</w:t>
      </w:r>
      <w:r>
        <w:rPr>
          <w:i/>
        </w:rPr>
        <w:t xml:space="preserve"> </w:t>
      </w:r>
      <w:r>
        <w:rPr>
          <w:rFonts w:hint="eastAsia"/>
          <w:i/>
          <w:iCs/>
        </w:rPr>
        <w:t>For facilitating inter-beam interference measurement, L1-SINR reporting should be supported.</w:t>
      </w:r>
    </w:p>
    <w:p>
      <w:pPr>
        <w:numPr>
          <w:ilvl w:val="0"/>
          <w:numId w:val="9"/>
        </w:numPr>
        <w:spacing w:before="120" w:after="0"/>
        <w:rPr>
          <w:i/>
          <w:iCs/>
        </w:rPr>
      </w:pPr>
      <w:r>
        <w:rPr>
          <w:rFonts w:hint="eastAsia"/>
          <w:i/>
          <w:iCs/>
        </w:rPr>
        <w:t xml:space="preserve"> The definition of L1-SINR should be enhanced, considering interference among CMR(s) to be reported.</w:t>
      </w:r>
    </w:p>
    <w:p>
      <w:pPr>
        <w:numPr>
          <w:ilvl w:val="0"/>
          <w:numId w:val="9"/>
        </w:numPr>
        <w:spacing w:before="120" w:after="0"/>
        <w:rPr>
          <w:i/>
          <w:iCs/>
        </w:rPr>
      </w:pPr>
      <w:r>
        <w:rPr>
          <w:rFonts w:hint="eastAsia"/>
          <w:i/>
          <w:iCs/>
        </w:rPr>
        <w:t>The association among CMRs from different TRPs (or called as candidate CMR pairs) should be supported.</w:t>
      </w:r>
    </w:p>
    <w:p>
      <w:pPr>
        <w:numPr>
          <w:ilvl w:val="1"/>
          <w:numId w:val="10"/>
        </w:numPr>
        <w:spacing w:before="60" w:beforeLines="25" w:afterLines="50"/>
        <w:ind w:left="851"/>
        <w:rPr>
          <w:i/>
        </w:rPr>
      </w:pPr>
      <w:r>
        <w:rPr>
          <w:rFonts w:hint="eastAsia"/>
          <w:i/>
        </w:rPr>
        <w:t>Analogous to Rel-16, CMR+ZP-IMR and CMR+NZP-IMR can be supported besides CMR only.</w:t>
      </w:r>
    </w:p>
    <w:p>
      <w:pPr>
        <w:overflowPunct w:val="0"/>
        <w:autoSpaceDE w:val="0"/>
        <w:autoSpaceDN w:val="0"/>
        <w:adjustRightInd w:val="0"/>
        <w:spacing w:before="120"/>
        <w:textAlignment w:val="baseline"/>
        <w:rPr>
          <w:i/>
        </w:rPr>
      </w:pPr>
      <w:r>
        <w:rPr>
          <w:b/>
          <w:i/>
        </w:rPr>
        <w:t>Proposal</w:t>
      </w:r>
      <w:r>
        <w:rPr>
          <w:rFonts w:hint="eastAsia"/>
          <w:b/>
          <w:i/>
        </w:rPr>
        <w:t xml:space="preserve"> </w:t>
      </w:r>
      <w:r>
        <w:rPr>
          <w:b/>
          <w:i/>
        </w:rPr>
        <w:t>2</w:t>
      </w:r>
      <w:r>
        <w:rPr>
          <w:rFonts w:hint="eastAsia"/>
          <w:b/>
          <w:i/>
        </w:rPr>
        <w:t xml:space="preserve">: </w:t>
      </w:r>
      <w:r>
        <w:rPr>
          <w:rFonts w:hint="eastAsia" w:eastAsia="微软雅黑"/>
          <w:i/>
        </w:rPr>
        <w:t>S</w:t>
      </w:r>
      <w:r>
        <w:rPr>
          <w:rFonts w:eastAsia="微软雅黑"/>
          <w:i/>
        </w:rPr>
        <w:t>upport Option 1 (</w:t>
      </w:r>
      <w:r>
        <w:rPr>
          <w:rFonts w:hint="eastAsia" w:eastAsia="微软雅黑"/>
          <w:i/>
        </w:rPr>
        <w:t>pan</w:t>
      </w:r>
      <w:r>
        <w:rPr>
          <w:rFonts w:eastAsia="微软雅黑"/>
          <w:i/>
        </w:rPr>
        <w:t>el</w:t>
      </w:r>
      <w:r>
        <w:rPr>
          <w:rFonts w:hint="eastAsia" w:eastAsia="微软雅黑"/>
          <w:i/>
        </w:rPr>
        <w:t>-</w:t>
      </w:r>
      <w:r>
        <w:rPr>
          <w:rFonts w:eastAsia="微软雅黑"/>
          <w:i/>
        </w:rPr>
        <w:t xml:space="preserve">specific reporting) </w:t>
      </w:r>
      <w:r>
        <w:rPr>
          <w:i/>
        </w:rPr>
        <w:t>for facilitating panel-specific DL and UL beam management via RSRP reporting;</w:t>
      </w:r>
    </w:p>
    <w:p>
      <w:pPr>
        <w:numPr>
          <w:ilvl w:val="0"/>
          <w:numId w:val="9"/>
        </w:numPr>
        <w:spacing w:before="120" w:after="0"/>
        <w:rPr>
          <w:i/>
          <w:iCs/>
        </w:rPr>
      </w:pPr>
      <w:r>
        <w:rPr>
          <w:rFonts w:hint="eastAsia"/>
          <w:i/>
          <w:iCs/>
        </w:rPr>
        <w:t>More than one group can be reported in a reporting instance, and, for each group, a group ID/panel ID is reported along with CRI(s)/SSBRI(s).</w:t>
      </w:r>
    </w:p>
    <w:p>
      <w:pPr>
        <w:numPr>
          <w:ilvl w:val="0"/>
          <w:numId w:val="9"/>
        </w:numPr>
        <w:spacing w:before="120" w:after="0"/>
        <w:rPr>
          <w:rFonts w:eastAsia="微软雅黑"/>
          <w:lang w:val="en-GB"/>
        </w:rPr>
      </w:pPr>
      <w:r>
        <w:rPr>
          <w:rFonts w:hint="eastAsia"/>
          <w:i/>
          <w:iCs/>
        </w:rPr>
        <w:t>Applied for RSRP reporting and mDCI-mTRP cases.</w:t>
      </w:r>
    </w:p>
    <w:p>
      <w:pPr>
        <w:spacing w:before="120" w:afterLines="50"/>
        <w:rPr>
          <w:i/>
        </w:rPr>
      </w:pPr>
      <w:r>
        <w:rPr>
          <w:b/>
          <w:i/>
        </w:rPr>
        <w:t xml:space="preserve">Proposal 3: </w:t>
      </w:r>
      <w:r>
        <w:rPr>
          <w:rFonts w:hint="eastAsia"/>
          <w:i/>
        </w:rPr>
        <w:t xml:space="preserve"> </w:t>
      </w:r>
      <w:r>
        <w:rPr>
          <w:i/>
        </w:rPr>
        <w:t>Extension of number of beams per group should be considered for Option 1 (panel</w:t>
      </w:r>
      <w:r>
        <w:rPr>
          <w:rFonts w:hint="eastAsia"/>
          <w:i/>
        </w:rPr>
        <w:t>-</w:t>
      </w:r>
      <w:r>
        <w:rPr>
          <w:i/>
        </w:rPr>
        <w:t>specific reporting) in Rel-17 NR-FeMIMO.</w:t>
      </w:r>
    </w:p>
    <w:p>
      <w:pPr>
        <w:numPr>
          <w:ilvl w:val="0"/>
          <w:numId w:val="9"/>
        </w:numPr>
        <w:spacing w:before="120" w:after="0"/>
        <w:rPr>
          <w:rFonts w:eastAsia="微软雅黑"/>
          <w:lang w:val="en-GB"/>
        </w:rPr>
      </w:pPr>
      <w:r>
        <w:rPr>
          <w:i/>
        </w:rPr>
        <w:t>In such case, UE can be configured to report N=2 groups and M (M =1, 2, 3, 4) beams per group.</w:t>
      </w:r>
    </w:p>
    <w:p>
      <w:pPr>
        <w:numPr>
          <w:ilvl w:val="255"/>
          <w:numId w:val="0"/>
        </w:numPr>
        <w:overflowPunct w:val="0"/>
        <w:autoSpaceDE w:val="0"/>
        <w:autoSpaceDN w:val="0"/>
        <w:adjustRightInd w:val="0"/>
        <w:spacing w:before="120"/>
        <w:textAlignment w:val="baseline"/>
        <w:rPr>
          <w:i/>
          <w:iCs/>
        </w:rPr>
      </w:pPr>
      <w:r>
        <w:rPr>
          <w:b/>
          <w:i/>
        </w:rPr>
        <w:t>Proposal</w:t>
      </w:r>
      <w:r>
        <w:rPr>
          <w:rFonts w:hint="eastAsia"/>
          <w:b/>
          <w:i/>
        </w:rPr>
        <w:t xml:space="preserve"> 4:</w:t>
      </w:r>
      <w:r>
        <w:rPr>
          <w:rFonts w:hint="eastAsia" w:eastAsia="微软雅黑"/>
          <w:lang w:val="en-GB"/>
        </w:rPr>
        <w:t xml:space="preserve"> </w:t>
      </w:r>
      <w:r>
        <w:rPr>
          <w:i/>
          <w:iCs/>
        </w:rPr>
        <w:t xml:space="preserve">Along with </w:t>
      </w:r>
      <w:r>
        <w:rPr>
          <w:i/>
        </w:rPr>
        <w:t>CRI</w:t>
      </w:r>
      <w:r>
        <w:rPr>
          <w:i/>
          <w:iCs/>
        </w:rPr>
        <w:t>/SSBRI report, a</w:t>
      </w:r>
      <w:r>
        <w:rPr>
          <w:i/>
        </w:rPr>
        <w:t xml:space="preserve">dditional </w:t>
      </w:r>
      <w:r>
        <w:rPr>
          <w:i/>
          <w:iCs/>
        </w:rPr>
        <w:t xml:space="preserve">information for </w:t>
      </w:r>
      <w:r>
        <w:rPr>
          <w:rFonts w:hint="eastAsia"/>
          <w:i/>
          <w:iCs/>
        </w:rPr>
        <w:t>Option</w:t>
      </w:r>
      <w:r>
        <w:rPr>
          <w:i/>
          <w:iCs/>
        </w:rPr>
        <w:t xml:space="preserve"> </w:t>
      </w:r>
      <w:r>
        <w:rPr>
          <w:rFonts w:hint="eastAsia"/>
          <w:i/>
          <w:iCs/>
        </w:rPr>
        <w:t>2 (beam group based reporting)</w:t>
      </w:r>
      <w:r>
        <w:rPr>
          <w:i/>
          <w:iCs/>
        </w:rPr>
        <w:t xml:space="preserve"> </w:t>
      </w:r>
      <w:r>
        <w:rPr>
          <w:rFonts w:hint="eastAsia"/>
          <w:i/>
          <w:iCs/>
        </w:rPr>
        <w:t xml:space="preserve">should be </w:t>
      </w:r>
      <w:r>
        <w:rPr>
          <w:i/>
          <w:iCs/>
        </w:rPr>
        <w:t>considered for facilitating CSI measurement and subsequent DL/UL transmission.</w:t>
      </w:r>
    </w:p>
    <w:p>
      <w:pPr>
        <w:numPr>
          <w:ilvl w:val="0"/>
          <w:numId w:val="9"/>
        </w:numPr>
        <w:spacing w:before="120" w:after="0"/>
        <w:rPr>
          <w:i/>
          <w:iCs/>
        </w:rPr>
      </w:pPr>
      <w:r>
        <w:rPr>
          <w:i/>
          <w:iCs/>
        </w:rPr>
        <w:t>UE can further indicate whether two beams within a group/pair can be used for spatial multiplexing or diversity</w:t>
      </w:r>
    </w:p>
    <w:p>
      <w:pPr>
        <w:numPr>
          <w:ilvl w:val="1"/>
          <w:numId w:val="9"/>
        </w:numPr>
        <w:spacing w:before="120" w:after="0"/>
        <w:rPr>
          <w:i/>
          <w:iCs/>
        </w:rPr>
      </w:pPr>
      <w:r>
        <w:rPr>
          <w:i/>
          <w:iCs/>
        </w:rPr>
        <w:t>If being indicated for spatial diversity, the total number of transmission layers by using the two beams should be limited, e.g., up to additional UE capability reporting.</w:t>
      </w:r>
    </w:p>
    <w:p>
      <w:pPr>
        <w:numPr>
          <w:ilvl w:val="0"/>
          <w:numId w:val="9"/>
        </w:numPr>
        <w:spacing w:before="120" w:after="0"/>
        <w:rPr>
          <w:i/>
          <w:iCs/>
        </w:rPr>
      </w:pPr>
      <w:r>
        <w:rPr>
          <w:i/>
          <w:iCs/>
        </w:rPr>
        <w:t>UE can further indicate which RS can be used for UL transmission considering that only one UL panel can be active for UL transmission.</w:t>
      </w:r>
    </w:p>
    <w:p>
      <w:pPr>
        <w:numPr>
          <w:ilvl w:val="255"/>
          <w:numId w:val="0"/>
        </w:numPr>
        <w:overflowPunct w:val="0"/>
        <w:autoSpaceDE w:val="0"/>
        <w:autoSpaceDN w:val="0"/>
        <w:adjustRightInd w:val="0"/>
        <w:spacing w:before="120"/>
        <w:textAlignment w:val="baseline"/>
        <w:rPr>
          <w:i/>
          <w:iCs/>
        </w:rPr>
      </w:pPr>
      <w:r>
        <w:rPr>
          <w:b/>
          <w:i/>
        </w:rPr>
        <w:t xml:space="preserve">Proposal </w:t>
      </w:r>
      <w:r>
        <w:rPr>
          <w:rFonts w:hint="eastAsia"/>
          <w:b/>
          <w:i/>
        </w:rPr>
        <w:t>5</w:t>
      </w:r>
      <w:r>
        <w:rPr>
          <w:b/>
          <w:i/>
        </w:rPr>
        <w:t xml:space="preserve">: </w:t>
      </w:r>
      <w:r>
        <w:rPr>
          <w:rFonts w:hint="eastAsia"/>
          <w:i/>
        </w:rPr>
        <w:t xml:space="preserve"> </w:t>
      </w:r>
      <w:r>
        <w:rPr>
          <w:i/>
        </w:rPr>
        <w:t xml:space="preserve">For the enhanced group based reporting, </w:t>
      </w:r>
      <w:r>
        <w:rPr>
          <w:i/>
          <w:iCs/>
        </w:rPr>
        <w:t>differential L1-RSRP reporting is supported similarly as in Rel-15/16:</w:t>
      </w:r>
    </w:p>
    <w:p>
      <w:pPr>
        <w:numPr>
          <w:ilvl w:val="0"/>
          <w:numId w:val="9"/>
        </w:numPr>
        <w:spacing w:before="120" w:after="0"/>
        <w:rPr>
          <w:i/>
        </w:rPr>
      </w:pPr>
      <w:r>
        <w:rPr>
          <w:i/>
        </w:rPr>
        <w:t xml:space="preserve">For each group, </w:t>
      </w:r>
      <w:r>
        <w:rPr>
          <w:rFonts w:hint="eastAsia"/>
          <w:i/>
        </w:rPr>
        <w:t>t</w:t>
      </w:r>
      <w:r>
        <w:rPr>
          <w:i/>
        </w:rPr>
        <w:t xml:space="preserve">he largest L1-RSRP </w:t>
      </w:r>
      <w:r>
        <w:rPr>
          <w:rFonts w:hint="eastAsia"/>
          <w:i/>
        </w:rPr>
        <w:t>should be</w:t>
      </w:r>
      <w:r>
        <w:rPr>
          <w:i/>
        </w:rPr>
        <w:t xml:space="preserve"> reported</w:t>
      </w:r>
      <w:r>
        <w:rPr>
          <w:rFonts w:hint="eastAsia"/>
          <w:i/>
        </w:rPr>
        <w:t xml:space="preserve"> </w:t>
      </w:r>
      <w:r>
        <w:rPr>
          <w:i/>
        </w:rPr>
        <w:t xml:space="preserve">for the first CRI/SSBRI by absolute value, and the other is reported by a </w:t>
      </w:r>
      <w:r>
        <w:rPr>
          <w:i/>
          <w:iCs/>
        </w:rPr>
        <w:t>differential</w:t>
      </w:r>
      <w:r>
        <w:rPr>
          <w:i/>
        </w:rPr>
        <w:t xml:space="preserve"> one.</w:t>
      </w:r>
    </w:p>
    <w:p>
      <w:pPr>
        <w:numPr>
          <w:ilvl w:val="0"/>
          <w:numId w:val="9"/>
        </w:numPr>
        <w:spacing w:before="120" w:after="0"/>
        <w:rPr>
          <w:i/>
          <w:iCs/>
        </w:rPr>
      </w:pPr>
      <w:r>
        <w:rPr>
          <w:i/>
          <w:iCs/>
        </w:rPr>
        <w:t>Then, in the group, the RS resource set ID is additionally reported for the first CRI/SSBRI.</w:t>
      </w:r>
    </w:p>
    <w:p>
      <w:pPr>
        <w:numPr>
          <w:ilvl w:val="255"/>
          <w:numId w:val="0"/>
        </w:numPr>
        <w:spacing w:before="120" w:after="0"/>
        <w:rPr>
          <w:i/>
        </w:rPr>
      </w:pPr>
      <w:r>
        <w:rPr>
          <w:b/>
          <w:i/>
        </w:rPr>
        <w:t xml:space="preserve">Proposal </w:t>
      </w:r>
      <w:r>
        <w:rPr>
          <w:rFonts w:hint="eastAsia"/>
          <w:b/>
          <w:i/>
        </w:rPr>
        <w:t>6</w:t>
      </w:r>
      <w:r>
        <w:rPr>
          <w:b/>
          <w:i/>
        </w:rPr>
        <w:t>:</w:t>
      </w:r>
      <w:r>
        <w:rPr>
          <w:i/>
        </w:rPr>
        <w:t xml:space="preserve"> </w:t>
      </w:r>
      <w:r>
        <w:rPr>
          <w:rFonts w:hint="eastAsia"/>
          <w:i/>
        </w:rPr>
        <w:t>Regarding Option 2 beam group based reporting</w:t>
      </w:r>
      <w:r>
        <w:rPr>
          <w:i/>
        </w:rPr>
        <w:t>,</w:t>
      </w:r>
      <w:r>
        <w:rPr>
          <w:rFonts w:hint="eastAsia"/>
          <w:i/>
        </w:rPr>
        <w:t xml:space="preserve"> </w:t>
      </w:r>
      <w:r>
        <w:rPr>
          <w:i/>
        </w:rPr>
        <w:t>a</w:t>
      </w:r>
      <w:r>
        <w:rPr>
          <w:rFonts w:hint="eastAsia"/>
          <w:i/>
        </w:rPr>
        <w:t>periodic CMR measurement based on multiple resource sets can be supported, besides for periodic and semi-persistent</w:t>
      </w:r>
      <w:r>
        <w:rPr>
          <w:i/>
        </w:rPr>
        <w:t>.</w:t>
      </w:r>
    </w:p>
    <w:p>
      <w:pPr>
        <w:numPr>
          <w:ilvl w:val="0"/>
          <w:numId w:val="17"/>
        </w:numPr>
        <w:spacing w:before="120" w:after="0"/>
        <w:ind w:left="363" w:hanging="363"/>
        <w:rPr>
          <w:i/>
        </w:rPr>
      </w:pPr>
      <w:r>
        <w:rPr>
          <w:i/>
        </w:rPr>
        <w:t xml:space="preserve">For a CSI triggering state, up to 2 CMR resource sets can be selected from the associated CMR resource setting having the multiple CMR resource sets. </w:t>
      </w:r>
    </w:p>
    <w:p>
      <w:pPr>
        <w:spacing w:before="120" w:line="271" w:lineRule="auto"/>
        <w:ind w:right="11"/>
        <w:rPr>
          <w:i/>
        </w:rPr>
      </w:pPr>
      <w:r>
        <w:rPr>
          <w:b/>
          <w:i/>
        </w:rPr>
        <w:t xml:space="preserve">Proposal </w:t>
      </w:r>
      <w:r>
        <w:rPr>
          <w:rFonts w:hint="eastAsia"/>
          <w:b/>
          <w:i/>
        </w:rPr>
        <w:t>7</w:t>
      </w:r>
      <w:r>
        <w:rPr>
          <w:b/>
          <w:i/>
        </w:rPr>
        <w:t xml:space="preserve">: </w:t>
      </w:r>
      <w:r>
        <w:rPr>
          <w:i/>
        </w:rPr>
        <w:t xml:space="preserve"> Support TRP-specific BFD RS and NBI RS through associating CORESETPoolIndex with BFD RS and NBI RS in mDCI-mTRP.</w:t>
      </w:r>
    </w:p>
    <w:p>
      <w:pPr>
        <w:numPr>
          <w:ilvl w:val="0"/>
          <w:numId w:val="9"/>
        </w:numPr>
        <w:spacing w:before="120" w:after="0"/>
        <w:rPr>
          <w:rFonts w:eastAsia="微软雅黑"/>
          <w:i/>
        </w:rPr>
      </w:pPr>
      <w:r>
        <w:rPr>
          <w:rFonts w:eastAsia="微软雅黑"/>
          <w:i/>
        </w:rPr>
        <w:t xml:space="preserve">For BFD, explicit and implicit methods are both supported for determining BFD RS per </w:t>
      </w:r>
      <w:r>
        <w:rPr>
          <w:i/>
        </w:rPr>
        <w:t>CORESETPoolIndex</w:t>
      </w:r>
      <w:r>
        <w:rPr>
          <w:rFonts w:eastAsia="微软雅黑"/>
          <w:i/>
        </w:rPr>
        <w:t xml:space="preserve"> </w:t>
      </w:r>
    </w:p>
    <w:p>
      <w:pPr>
        <w:numPr>
          <w:ilvl w:val="1"/>
          <w:numId w:val="10"/>
        </w:numPr>
        <w:spacing w:before="60" w:beforeLines="25" w:afterLines="50"/>
        <w:ind w:left="851"/>
        <w:rPr>
          <w:i/>
        </w:rPr>
      </w:pPr>
      <w:r>
        <w:rPr>
          <w:i/>
        </w:rPr>
        <w:t>Explicit:</w:t>
      </w:r>
      <w:r>
        <w:rPr>
          <w:rFonts w:hint="eastAsia"/>
          <w:i/>
        </w:rPr>
        <w:t xml:space="preserve"> </w:t>
      </w:r>
      <w:r>
        <w:rPr>
          <w:i/>
        </w:rPr>
        <w:t xml:space="preserve">Two separate BFD RS sets, q_0(s), are configured </w:t>
      </w:r>
      <w:r>
        <w:rPr>
          <w:rFonts w:hint="eastAsia"/>
          <w:i/>
        </w:rPr>
        <w:t>per</w:t>
      </w:r>
      <w:r>
        <w:rPr>
          <w:i/>
        </w:rPr>
        <w:t xml:space="preserve"> CORESETPoolIndex</w:t>
      </w:r>
      <w:r>
        <w:rPr>
          <w:rFonts w:hint="eastAsia"/>
          <w:i/>
        </w:rPr>
        <w:t>,</w:t>
      </w:r>
      <w:r>
        <w:rPr>
          <w:i/>
        </w:rPr>
        <w:t xml:space="preserve"> and a RS of each of </w:t>
      </w:r>
      <w:r>
        <w:rPr>
          <w:rFonts w:hint="eastAsia"/>
          <w:i/>
        </w:rPr>
        <w:t>q_0</w:t>
      </w:r>
      <w:r>
        <w:rPr>
          <w:i/>
        </w:rPr>
        <w:t>(s)</w:t>
      </w:r>
      <w:r>
        <w:rPr>
          <w:rFonts w:hint="eastAsia"/>
          <w:i/>
        </w:rPr>
        <w:t xml:space="preserve"> should be QCL-ed with a CORESET with  a CORESETPoolIndex corresponding to the  q_0</w:t>
      </w:r>
    </w:p>
    <w:p>
      <w:pPr>
        <w:numPr>
          <w:ilvl w:val="1"/>
          <w:numId w:val="10"/>
        </w:numPr>
        <w:spacing w:before="60" w:beforeLines="25" w:afterLines="50"/>
        <w:ind w:left="851"/>
        <w:rPr>
          <w:i/>
        </w:rPr>
      </w:pPr>
      <w:r>
        <w:rPr>
          <w:i/>
        </w:rPr>
        <w:t>Implicit:</w:t>
      </w:r>
      <w:r>
        <w:rPr>
          <w:rFonts w:hint="eastAsia"/>
          <w:i/>
        </w:rPr>
        <w:t xml:space="preserve"> </w:t>
      </w:r>
      <w:r>
        <w:rPr>
          <w:i/>
        </w:rPr>
        <w:t xml:space="preserve">Two separate BFD RS sets, q_0(s), are determined according to TCI states of CORESETs per CORESETPoolIndex </w:t>
      </w:r>
    </w:p>
    <w:p>
      <w:pPr>
        <w:numPr>
          <w:ilvl w:val="0"/>
          <w:numId w:val="9"/>
        </w:numPr>
        <w:spacing w:before="120" w:after="0"/>
        <w:rPr>
          <w:rFonts w:eastAsia="微软雅黑"/>
          <w:i/>
        </w:rPr>
      </w:pPr>
      <w:r>
        <w:rPr>
          <w:rFonts w:eastAsia="微软雅黑"/>
          <w:i/>
        </w:rPr>
        <w:t xml:space="preserve">For NBI, two separate NBI RS sets, q_1(s), can be explicitly configured per CORESETPoolIndex </w:t>
      </w:r>
    </w:p>
    <w:p>
      <w:pPr>
        <w:spacing w:before="120" w:line="271" w:lineRule="auto"/>
        <w:ind w:right="11"/>
        <w:rPr>
          <w:i/>
        </w:rPr>
      </w:pPr>
      <w:r>
        <w:rPr>
          <w:b/>
          <w:i/>
        </w:rPr>
        <w:t>Proposal</w:t>
      </w:r>
      <w:r>
        <w:rPr>
          <w:rFonts w:hint="eastAsia"/>
          <w:b/>
          <w:i/>
        </w:rPr>
        <w:t xml:space="preserve"> 8:</w:t>
      </w:r>
      <w:r>
        <w:rPr>
          <w:b/>
          <w:i/>
        </w:rPr>
        <w:t xml:space="preserve"> </w:t>
      </w:r>
      <w:r>
        <w:rPr>
          <w:i/>
        </w:rPr>
        <w:t>Introduce a new MAC-CE</w:t>
      </w:r>
      <w:r>
        <w:rPr>
          <w:rFonts w:hint="eastAsia"/>
          <w:i/>
        </w:rPr>
        <w:t xml:space="preserve"> </w:t>
      </w:r>
      <w:r>
        <w:rPr>
          <w:i/>
        </w:rPr>
        <w:t xml:space="preserve">to activate </w:t>
      </w:r>
      <w:r>
        <w:rPr>
          <w:rFonts w:hint="eastAsia"/>
          <w:i/>
        </w:rPr>
        <w:t>BFD RS</w:t>
      </w:r>
      <w:r>
        <w:rPr>
          <w:i/>
        </w:rPr>
        <w:t>(s) dynamically, in order to guarantee the same timeline between PDCCH beam update and explicit BFD RS configuration</w:t>
      </w:r>
      <w:r>
        <w:rPr>
          <w:rFonts w:hint="eastAsia"/>
          <w:i/>
        </w:rPr>
        <w:t>.</w:t>
      </w:r>
    </w:p>
    <w:p>
      <w:pPr>
        <w:spacing w:before="120" w:line="271" w:lineRule="auto"/>
        <w:ind w:right="11"/>
        <w:rPr>
          <w:b/>
          <w:i/>
        </w:rPr>
      </w:pPr>
      <w:r>
        <w:rPr>
          <w:rFonts w:hint="eastAsia"/>
          <w:i/>
        </w:rPr>
        <w:t xml:space="preserve">-      </w:t>
      </w:r>
      <w:r>
        <w:rPr>
          <w:i/>
        </w:rPr>
        <w:t>In the MAC-CE, BFD-RS ID and corresponding CORESETPoolIndex should be included for mDCI-mTRP.</w:t>
      </w:r>
    </w:p>
    <w:p>
      <w:pPr>
        <w:spacing w:before="120" w:line="271" w:lineRule="auto"/>
        <w:ind w:right="11"/>
        <w:rPr>
          <w:bCs/>
          <w:i/>
        </w:rPr>
      </w:pPr>
      <w:r>
        <w:rPr>
          <w:b/>
          <w:i/>
        </w:rPr>
        <w:t xml:space="preserve">Proposal </w:t>
      </w:r>
      <w:r>
        <w:rPr>
          <w:rFonts w:hint="eastAsia"/>
          <w:b/>
          <w:i/>
        </w:rPr>
        <w:t>9</w:t>
      </w:r>
      <w:r>
        <w:rPr>
          <w:b/>
          <w:i/>
        </w:rPr>
        <w:t xml:space="preserve">: </w:t>
      </w:r>
      <w:r>
        <w:rPr>
          <w:bCs/>
          <w:i/>
        </w:rPr>
        <w:t>When up to two (or more) dedicated PUCCH-SR resources in a cell group are configured, association between one of PUCCH-SR resource(s) and CORESETPoolIndex should be supported for mDCI-mTRP.</w:t>
      </w:r>
    </w:p>
    <w:p>
      <w:pPr>
        <w:spacing w:before="120" w:line="271" w:lineRule="auto"/>
        <w:ind w:right="11"/>
        <w:rPr>
          <w:bCs/>
          <w:i/>
        </w:rPr>
      </w:pPr>
      <w:r>
        <w:rPr>
          <w:rFonts w:hint="eastAsia"/>
          <w:bCs/>
          <w:i/>
        </w:rPr>
        <w:t>-     In the case that one or more TRPs of S</w:t>
      </w:r>
      <w:r>
        <w:rPr>
          <w:bCs/>
          <w:i/>
        </w:rPr>
        <w:t>p</w:t>
      </w:r>
      <w:r>
        <w:rPr>
          <w:rFonts w:hint="eastAsia"/>
          <w:bCs/>
          <w:i/>
        </w:rPr>
        <w:t>Cell fails,</w:t>
      </w:r>
    </w:p>
    <w:p>
      <w:pPr>
        <w:numPr>
          <w:ilvl w:val="0"/>
          <w:numId w:val="21"/>
        </w:numPr>
        <w:spacing w:before="120" w:line="271" w:lineRule="auto"/>
        <w:ind w:right="11"/>
        <w:rPr>
          <w:bCs/>
          <w:i/>
        </w:rPr>
      </w:pPr>
      <w:r>
        <w:rPr>
          <w:rFonts w:hint="eastAsia"/>
          <w:bCs/>
          <w:i/>
        </w:rPr>
        <w:t>If one TRPs of S</w:t>
      </w:r>
      <w:r>
        <w:rPr>
          <w:bCs/>
          <w:i/>
        </w:rPr>
        <w:t>p</w:t>
      </w:r>
      <w:r>
        <w:rPr>
          <w:rFonts w:hint="eastAsia"/>
          <w:bCs/>
          <w:i/>
        </w:rPr>
        <w:t>Cell fails, PUCCH-SR resource associated with same CORESETPoolIndex as non-failed BFD-RS set (i.e., non-failed TRP) is transmitted.</w:t>
      </w:r>
    </w:p>
    <w:p>
      <w:pPr>
        <w:numPr>
          <w:ilvl w:val="0"/>
          <w:numId w:val="21"/>
        </w:numPr>
        <w:spacing w:before="120" w:line="271" w:lineRule="auto"/>
        <w:ind w:right="11"/>
        <w:rPr>
          <w:bCs/>
          <w:i/>
        </w:rPr>
      </w:pPr>
      <w:r>
        <w:rPr>
          <w:rFonts w:hint="eastAsia"/>
          <w:bCs/>
          <w:i/>
        </w:rPr>
        <w:t>If both TRPs of S</w:t>
      </w:r>
      <w:r>
        <w:rPr>
          <w:bCs/>
          <w:i/>
        </w:rPr>
        <w:t>p</w:t>
      </w:r>
      <w:r>
        <w:rPr>
          <w:rFonts w:hint="eastAsia"/>
          <w:bCs/>
          <w:i/>
        </w:rPr>
        <w:t>Cell fail, PRACH based BFR procedure is initialized.</w:t>
      </w:r>
    </w:p>
    <w:p>
      <w:pPr>
        <w:spacing w:before="120" w:line="271" w:lineRule="auto"/>
        <w:ind w:right="11"/>
        <w:rPr>
          <w:bCs/>
          <w:i/>
        </w:rPr>
      </w:pPr>
      <w:r>
        <w:rPr>
          <w:rFonts w:hint="eastAsia"/>
          <w:bCs/>
          <w:i/>
        </w:rPr>
        <w:t>-     In the case that one or more TRPs of Scell fails,</w:t>
      </w:r>
    </w:p>
    <w:p>
      <w:pPr>
        <w:numPr>
          <w:ilvl w:val="0"/>
          <w:numId w:val="22"/>
        </w:numPr>
        <w:spacing w:before="120" w:line="271" w:lineRule="auto"/>
        <w:ind w:right="11"/>
        <w:rPr>
          <w:bCs/>
          <w:i/>
        </w:rPr>
      </w:pPr>
      <w:r>
        <w:rPr>
          <w:bCs/>
          <w:i/>
        </w:rPr>
        <w:t>PUCCH-SR resource associated with same CORESETPoolIndex as failed BFD-RS set (i.e., failed TRP) is transmitted.</w:t>
      </w:r>
    </w:p>
    <w:p>
      <w:pPr>
        <w:numPr>
          <w:ilvl w:val="255"/>
          <w:numId w:val="0"/>
        </w:numPr>
        <w:spacing w:before="120"/>
        <w:rPr>
          <w:i/>
        </w:rPr>
      </w:pPr>
      <w:r>
        <w:rPr>
          <w:b/>
          <w:i/>
        </w:rPr>
        <w:t xml:space="preserve">Proposal </w:t>
      </w:r>
      <w:r>
        <w:rPr>
          <w:rFonts w:hint="eastAsia"/>
          <w:b/>
          <w:i/>
        </w:rPr>
        <w:t>10</w:t>
      </w:r>
      <w:r>
        <w:rPr>
          <w:b/>
          <w:i/>
        </w:rPr>
        <w:t xml:space="preserve">: </w:t>
      </w:r>
      <w:r>
        <w:rPr>
          <w:i/>
        </w:rPr>
        <w:t>For MAC-CE for TRP-specific BFR, the TRP information, i.e., CORESETPoolI</w:t>
      </w:r>
      <w:r>
        <w:rPr>
          <w:rFonts w:hint="eastAsia"/>
          <w:i/>
        </w:rPr>
        <w:t>ndex</w:t>
      </w:r>
      <w:r>
        <w:rPr>
          <w:i/>
        </w:rPr>
        <w:t xml:space="preserve"> of a failed TRP, should be provided explicitly.</w:t>
      </w:r>
    </w:p>
    <w:p>
      <w:pPr>
        <w:numPr>
          <w:ilvl w:val="0"/>
          <w:numId w:val="17"/>
        </w:numPr>
        <w:spacing w:before="120" w:after="0"/>
        <w:ind w:left="360"/>
      </w:pPr>
      <w:r>
        <w:rPr>
          <w:i/>
        </w:rPr>
        <w:t>The bitmap of serving cell indication in BFR MAC-CE should correspond to a serving cell set associated with a TRP</w:t>
      </w:r>
      <w:r>
        <w:rPr>
          <w:rFonts w:hint="eastAsia"/>
          <w:i/>
        </w:rPr>
        <w:t>,</w:t>
      </w:r>
      <w:r>
        <w:rPr>
          <w:i/>
        </w:rPr>
        <w:t xml:space="preserve"> </w:t>
      </w:r>
      <w:r>
        <w:rPr>
          <w:rFonts w:hint="eastAsia"/>
          <w:i/>
        </w:rPr>
        <w:t>wherein the serving cell set includes serving cells configured with beam failure parameter for the TPP</w:t>
      </w:r>
      <w:r>
        <w:rPr>
          <w:rFonts w:hint="eastAsia"/>
          <w:bCs/>
          <w:i/>
        </w:rPr>
        <w:t>.</w:t>
      </w:r>
    </w:p>
    <w:p>
      <w:pPr>
        <w:numPr>
          <w:ilvl w:val="0"/>
          <w:numId w:val="17"/>
        </w:numPr>
        <w:spacing w:before="120" w:after="0"/>
        <w:ind w:left="360"/>
        <w:rPr>
          <w:i/>
          <w:iCs/>
        </w:rPr>
      </w:pPr>
      <w:r>
        <w:rPr>
          <w:i/>
          <w:iCs/>
        </w:rPr>
        <w:t xml:space="preserve">FFS: design of </w:t>
      </w:r>
      <w:r>
        <w:rPr>
          <w:i/>
        </w:rPr>
        <w:t>MAC</w:t>
      </w:r>
      <w:r>
        <w:rPr>
          <w:i/>
          <w:iCs/>
        </w:rPr>
        <w:t>-CE, e.g., a single MAC-CE for both TRPs and</w:t>
      </w:r>
      <w:r>
        <w:rPr>
          <w:rFonts w:hint="eastAsia"/>
          <w:i/>
          <w:iCs/>
        </w:rPr>
        <w:t xml:space="preserve"> </w:t>
      </w:r>
      <w:r>
        <w:rPr>
          <w:i/>
          <w:iCs/>
        </w:rPr>
        <w:t>two separate MAC-CE for each of TRPs.</w:t>
      </w:r>
    </w:p>
    <w:p>
      <w:pPr>
        <w:spacing w:before="120" w:line="271" w:lineRule="auto"/>
        <w:ind w:right="11"/>
        <w:rPr>
          <w:i/>
        </w:rPr>
      </w:pPr>
      <w:r>
        <w:rPr>
          <w:b/>
          <w:i/>
        </w:rPr>
        <w:t xml:space="preserve">Proposal </w:t>
      </w:r>
      <w:r>
        <w:rPr>
          <w:rFonts w:hint="eastAsia"/>
          <w:b/>
          <w:i/>
        </w:rPr>
        <w:t>11</w:t>
      </w:r>
      <w:r>
        <w:rPr>
          <w:b/>
          <w:i/>
        </w:rPr>
        <w:t>:</w:t>
      </w:r>
      <w:r>
        <w:rPr>
          <w:rFonts w:hint="eastAsia"/>
          <w:i/>
        </w:rPr>
        <w:t xml:space="preserve"> Th</w:t>
      </w:r>
      <w:r>
        <w:rPr>
          <w:i/>
        </w:rPr>
        <w:t>e beam</w:t>
      </w:r>
      <w:r>
        <w:rPr>
          <w:rFonts w:hint="eastAsia"/>
          <w:i/>
        </w:rPr>
        <w:t xml:space="preserve"> and power control</w:t>
      </w:r>
      <w:r>
        <w:rPr>
          <w:i/>
        </w:rPr>
        <w:t xml:space="preserve"> for CORESET/PUCCH should be updated according to a reported candidate RS, only if the CORESET/PUCCH is associated with the same CORESETPoolIndex corresponding to BFD and NBI RS sets.</w:t>
      </w:r>
    </w:p>
    <w:p>
      <w:pPr>
        <w:numPr>
          <w:ilvl w:val="0"/>
          <w:numId w:val="17"/>
        </w:numPr>
        <w:spacing w:before="120" w:after="0"/>
        <w:ind w:left="363" w:hanging="363"/>
        <w:rPr>
          <w:i/>
          <w:iCs/>
        </w:rPr>
      </w:pPr>
      <w:r>
        <w:rPr>
          <w:rFonts w:hint="eastAsia"/>
          <w:i/>
          <w:iCs/>
        </w:rPr>
        <w:t>CORESETPoolIndex</w:t>
      </w:r>
      <w:r>
        <w:rPr>
          <w:i/>
          <w:iCs/>
        </w:rPr>
        <w:t xml:space="preserve"> is introduced for PUCCH configuration, in order to initialize TRP-specific CORESET and PUCCH’s beam update</w:t>
      </w:r>
    </w:p>
    <w:p>
      <w:pPr>
        <w:numPr>
          <w:ilvl w:val="0"/>
          <w:numId w:val="17"/>
        </w:numPr>
        <w:spacing w:before="120" w:after="0"/>
        <w:ind w:left="363" w:hanging="363"/>
        <w:rPr>
          <w:i/>
          <w:iCs/>
        </w:rPr>
      </w:pPr>
      <w:r>
        <w:rPr>
          <w:i/>
          <w:iCs/>
        </w:rPr>
        <w:t>Deactivating CORESET(s) associated with the same CORESETPoolIndex, if no candidate RS can be identified.</w:t>
      </w:r>
    </w:p>
    <w:p>
      <w:pPr>
        <w:numPr>
          <w:ilvl w:val="0"/>
          <w:numId w:val="17"/>
        </w:numPr>
        <w:spacing w:before="120" w:after="0"/>
        <w:ind w:left="363" w:hanging="363"/>
        <w:rPr>
          <w:i/>
          <w:iCs/>
        </w:rPr>
      </w:pPr>
      <w:r>
        <w:rPr>
          <w:rFonts w:hint="eastAsia"/>
          <w:i/>
          <w:iCs/>
        </w:rPr>
        <w:t xml:space="preserve">SCS determination for 28 symbols should be further studied, e.g., </w:t>
      </w:r>
      <w:r>
        <w:rPr>
          <w:rFonts w:hint="eastAsia"/>
          <w:i/>
          <w:iCs/>
          <w:lang w:val="en-US" w:eastAsia="zh-CN"/>
        </w:rPr>
        <w:t>to be</w:t>
      </w:r>
      <w:r>
        <w:rPr>
          <w:rFonts w:hint="eastAsia"/>
          <w:i/>
          <w:iCs/>
        </w:rPr>
        <w:t xml:space="preserve"> per TRP.</w:t>
      </w:r>
    </w:p>
    <w:p>
      <w:pPr>
        <w:numPr>
          <w:ilvl w:val="0"/>
          <w:numId w:val="1"/>
        </w:numPr>
        <w:tabs>
          <w:tab w:val="clear" w:pos="432"/>
        </w:tabs>
        <w:snapToGrid w:val="0"/>
        <w:spacing w:before="120" w:afterLines="50"/>
        <w:ind w:left="425" w:hanging="425"/>
        <w:outlineLvl w:val="0"/>
        <w:rPr>
          <w:b/>
          <w:sz w:val="28"/>
        </w:rPr>
      </w:pPr>
      <w:r>
        <w:rPr>
          <w:b/>
          <w:sz w:val="28"/>
        </w:rPr>
        <w:t>References</w:t>
      </w:r>
    </w:p>
    <w:p>
      <w:pPr>
        <w:pStyle w:val="98"/>
        <w:snapToGrid w:val="0"/>
        <w:rPr>
          <w:sz w:val="20"/>
          <w:szCs w:val="20"/>
          <w:lang w:val="en-GB"/>
        </w:rPr>
      </w:pPr>
      <w:r>
        <w:rPr>
          <w:sz w:val="20"/>
          <w:szCs w:val="20"/>
          <w:lang w:val="en-GB"/>
        </w:rPr>
        <w:t>[</w:t>
      </w:r>
      <w:r>
        <w:rPr>
          <w:rFonts w:hint="eastAsia"/>
          <w:sz w:val="20"/>
          <w:szCs w:val="20"/>
        </w:rPr>
        <w:t>1</w:t>
      </w:r>
      <w:r>
        <w:rPr>
          <w:sz w:val="20"/>
          <w:szCs w:val="20"/>
          <w:lang w:val="en-GB"/>
        </w:rPr>
        <w:t xml:space="preserve">] </w:t>
      </w:r>
      <w:bookmarkStart w:id="3" w:name="_Ref481825863"/>
      <w:bookmarkStart w:id="4" w:name="_Ref485106734"/>
      <w:r>
        <w:rPr>
          <w:sz w:val="20"/>
          <w:szCs w:val="20"/>
        </w:rPr>
        <w:t>RP-193133</w:t>
      </w:r>
      <w:r>
        <w:rPr>
          <w:rFonts w:hint="eastAsia"/>
          <w:sz w:val="20"/>
          <w:szCs w:val="20"/>
        </w:rPr>
        <w:t>,</w:t>
      </w:r>
      <w:r>
        <w:rPr>
          <w:sz w:val="20"/>
          <w:szCs w:val="20"/>
        </w:rPr>
        <w:t xml:space="preserve"> New WID: Further enhancements on MIMO for NR, Samsung</w:t>
      </w:r>
      <w:bookmarkEnd w:id="3"/>
      <w:bookmarkEnd w:id="4"/>
      <w:r>
        <w:rPr>
          <w:sz w:val="20"/>
          <w:szCs w:val="20"/>
          <w:lang w:val="en-GB"/>
        </w:rPr>
        <w:t xml:space="preserve"> </w:t>
      </w:r>
      <w:bookmarkStart w:id="5" w:name="_Ref477945819"/>
    </w:p>
    <w:p>
      <w:pPr>
        <w:pStyle w:val="98"/>
        <w:snapToGrid w:val="0"/>
        <w:rPr>
          <w:sz w:val="20"/>
          <w:szCs w:val="20"/>
          <w:lang w:val="en-GB"/>
        </w:rPr>
      </w:pPr>
      <w:r>
        <w:rPr>
          <w:sz w:val="20"/>
          <w:szCs w:val="20"/>
          <w:lang w:val="en-GB"/>
        </w:rPr>
        <w:t>[2] R1-2102667, Further details on Multi-beam and Multi-TRP</w:t>
      </w:r>
      <w:r>
        <w:rPr>
          <w:rFonts w:hint="eastAsia"/>
          <w:sz w:val="20"/>
          <w:szCs w:val="20"/>
        </w:rPr>
        <w:t>,</w:t>
      </w:r>
      <w:r>
        <w:rPr>
          <w:sz w:val="20"/>
          <w:szCs w:val="20"/>
        </w:rPr>
        <w:t xml:space="preserve"> </w:t>
      </w:r>
      <w:r>
        <w:rPr>
          <w:sz w:val="20"/>
          <w:szCs w:val="20"/>
          <w:lang w:val="en-GB"/>
        </w:rPr>
        <w:t>ZTE</w:t>
      </w:r>
    </w:p>
    <w:bookmarkEnd w:id="5"/>
    <w:p>
      <w:pPr>
        <w:pStyle w:val="98"/>
        <w:snapToGrid w:val="0"/>
        <w:rPr>
          <w:sz w:val="20"/>
          <w:szCs w:val="20"/>
          <w:lang w:val="en-GB"/>
        </w:rPr>
      </w:pPr>
    </w:p>
    <w:sectPr>
      <w:headerReference r:id="rId5" w:type="first"/>
      <w:footerReference r:id="rId8" w:type="first"/>
      <w:headerReference r:id="rId3" w:type="default"/>
      <w:footerReference r:id="rId6" w:type="default"/>
      <w:headerReference r:id="rId4" w:type="even"/>
      <w:footerReference r:id="rId7" w:type="even"/>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roman"/>
    <w:pitch w:val="default"/>
    <w:sig w:usb0="E00002FF" w:usb1="6AC7FDFB"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panose1 w:val="02030600000101010101"/>
    <w:charset w:val="81"/>
    <w:family w:val="auto"/>
    <w:pitch w:val="default"/>
    <w:sig w:usb0="B00002AF" w:usb1="69D77CFB" w:usb2="00000030" w:usb3="00000000" w:csb0="4008009F" w:csb1="DFD70000"/>
  </w:font>
  <w:font w:name="Malgun Gothic">
    <w:panose1 w:val="020B0503020000020004"/>
    <w:charset w:val="81"/>
    <w:family w:val="swiss"/>
    <w:pitch w:val="default"/>
    <w:sig w:usb0="900002AF" w:usb1="01D77CFB" w:usb2="00000012" w:usb3="00000000" w:csb0="00080001" w:csb1="00000000"/>
  </w:font>
  <w:font w:name="Courier New">
    <w:panose1 w:val="02070309020205020404"/>
    <w:charset w:val="00"/>
    <w:family w:val="modern"/>
    <w:pitch w:val="default"/>
    <w:sig w:usb0="E0002AFF" w:usb1="C0007843" w:usb2="00000009" w:usb3="00000000" w:csb0="400001FF" w:csb1="FFFF0000"/>
  </w:font>
  <w:font w:name="Gulim">
    <w:panose1 w:val="020B0600000101010101"/>
    <w:charset w:val="81"/>
    <w:family w:val="roman"/>
    <w:pitch w:val="default"/>
    <w:sig w:usb0="B00002AF" w:usb1="69D77CFB" w:usb2="00000030" w:usb3="00000000" w:csb0="4008009F" w:csb1="DFD70000"/>
  </w:font>
  <w:font w:name="微软雅黑">
    <w:panose1 w:val="020B0503020204020204"/>
    <w:charset w:val="86"/>
    <w:family w:val="swiss"/>
    <w:pitch w:val="default"/>
    <w:sig w:usb0="80000287" w:usb1="280F3C52" w:usb2="00000016" w:usb3="00000000" w:csb0="0004001F" w:csb1="00000000"/>
  </w:font>
  <w:font w:name="DengXian">
    <w:altName w:val="宋体"/>
    <w:panose1 w:val="00000000000000000000"/>
    <w:charset w:val="86"/>
    <w:family w:val="auto"/>
    <w:pitch w:val="default"/>
    <w:sig w:usb0="00000000" w:usb1="00000000"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B10D4F"/>
    <w:multiLevelType w:val="multilevel"/>
    <w:tmpl w:val="A4B10D4F"/>
    <w:lvl w:ilvl="0" w:tentative="0">
      <w:start w:val="1"/>
      <w:numFmt w:val="bullet"/>
      <w:lvlText w:val="-"/>
      <w:lvlJc w:val="left"/>
      <w:pPr>
        <w:ind w:left="360" w:hanging="360"/>
      </w:pPr>
      <w:rPr>
        <w:rFonts w:hint="default" w:ascii="Times New Roman" w:hAnsi="Times New Roman" w:eastAsia="宋体" w:cs="Times New Roman"/>
      </w:rPr>
    </w:lvl>
    <w:lvl w:ilvl="1" w:tentative="0">
      <w:start w:val="0"/>
      <w:numFmt w:val="bullet"/>
      <w:lvlText w:val="-"/>
      <w:lvlJc w:val="left"/>
      <w:pPr>
        <w:ind w:left="840" w:hanging="420"/>
      </w:pPr>
      <w:rPr>
        <w:rFonts w:hint="default" w:ascii="Times New Roman" w:hAnsi="Times New Roman" w:eastAsia="Times New Roman" w:cs="Times New Roman"/>
        <w:b/>
        <w:sz w:val="20"/>
        <w:u w:val="none"/>
        <w:lang w:val="en-GB"/>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
    <w:nsid w:val="A50B0B88"/>
    <w:multiLevelType w:val="multilevel"/>
    <w:tmpl w:val="A50B0B88"/>
    <w:lvl w:ilvl="0" w:tentative="0">
      <w:start w:val="1"/>
      <w:numFmt w:val="bullet"/>
      <w:lvlText w:val=""/>
      <w:lvlJc w:val="left"/>
      <w:pPr>
        <w:tabs>
          <w:tab w:val="left" w:pos="420"/>
        </w:tabs>
        <w:ind w:left="840" w:hanging="420"/>
      </w:pPr>
      <w:rPr>
        <w:rFonts w:hint="default" w:ascii="Wingdings" w:hAnsi="Wingdings"/>
        <w:sz w:val="16"/>
        <w:szCs w:val="16"/>
      </w:rPr>
    </w:lvl>
    <w:lvl w:ilvl="1" w:tentative="0">
      <w:start w:val="1"/>
      <w:numFmt w:val="bullet"/>
      <w:lvlText w:val=""/>
      <w:lvlJc w:val="left"/>
      <w:pPr>
        <w:tabs>
          <w:tab w:val="left" w:pos="840"/>
        </w:tabs>
        <w:ind w:left="1260" w:hanging="420"/>
      </w:pPr>
      <w:rPr>
        <w:rFonts w:hint="default" w:ascii="Wingdings" w:hAnsi="Wingdings"/>
      </w:rPr>
    </w:lvl>
    <w:lvl w:ilvl="2" w:tentative="0">
      <w:start w:val="1"/>
      <w:numFmt w:val="bullet"/>
      <w:lvlText w:val=""/>
      <w:lvlJc w:val="left"/>
      <w:pPr>
        <w:tabs>
          <w:tab w:val="left" w:pos="1260"/>
        </w:tabs>
        <w:ind w:left="1680" w:hanging="420"/>
      </w:pPr>
      <w:rPr>
        <w:rFonts w:hint="default" w:ascii="Wingdings" w:hAnsi="Wingdings"/>
      </w:rPr>
    </w:lvl>
    <w:lvl w:ilvl="3" w:tentative="0">
      <w:start w:val="1"/>
      <w:numFmt w:val="bullet"/>
      <w:lvlText w:val=""/>
      <w:lvlJc w:val="left"/>
      <w:pPr>
        <w:tabs>
          <w:tab w:val="left" w:pos="1680"/>
        </w:tabs>
        <w:ind w:left="2100" w:hanging="420"/>
      </w:pPr>
      <w:rPr>
        <w:rFonts w:hint="default" w:ascii="Wingdings" w:hAnsi="Wingdings"/>
      </w:rPr>
    </w:lvl>
    <w:lvl w:ilvl="4" w:tentative="0">
      <w:start w:val="1"/>
      <w:numFmt w:val="bullet"/>
      <w:lvlText w:val=""/>
      <w:lvlJc w:val="left"/>
      <w:pPr>
        <w:tabs>
          <w:tab w:val="left" w:pos="2100"/>
        </w:tabs>
        <w:ind w:left="2520" w:hanging="420"/>
      </w:pPr>
      <w:rPr>
        <w:rFonts w:hint="default" w:ascii="Wingdings" w:hAnsi="Wingdings"/>
      </w:rPr>
    </w:lvl>
    <w:lvl w:ilvl="5" w:tentative="0">
      <w:start w:val="1"/>
      <w:numFmt w:val="bullet"/>
      <w:lvlText w:val=""/>
      <w:lvlJc w:val="left"/>
      <w:pPr>
        <w:tabs>
          <w:tab w:val="left" w:pos="2520"/>
        </w:tabs>
        <w:ind w:left="2940" w:hanging="420"/>
      </w:pPr>
      <w:rPr>
        <w:rFonts w:hint="default" w:ascii="Wingdings" w:hAnsi="Wingdings"/>
      </w:rPr>
    </w:lvl>
    <w:lvl w:ilvl="6" w:tentative="0">
      <w:start w:val="1"/>
      <w:numFmt w:val="bullet"/>
      <w:lvlText w:val=""/>
      <w:lvlJc w:val="left"/>
      <w:pPr>
        <w:tabs>
          <w:tab w:val="left" w:pos="2940"/>
        </w:tabs>
        <w:ind w:left="3360" w:hanging="420"/>
      </w:pPr>
      <w:rPr>
        <w:rFonts w:hint="default" w:ascii="Wingdings" w:hAnsi="Wingdings"/>
      </w:rPr>
    </w:lvl>
    <w:lvl w:ilvl="7" w:tentative="0">
      <w:start w:val="1"/>
      <w:numFmt w:val="bullet"/>
      <w:lvlText w:val=""/>
      <w:lvlJc w:val="left"/>
      <w:pPr>
        <w:tabs>
          <w:tab w:val="left" w:pos="3360"/>
        </w:tabs>
        <w:ind w:left="3780" w:hanging="420"/>
      </w:pPr>
      <w:rPr>
        <w:rFonts w:hint="default" w:ascii="Wingdings" w:hAnsi="Wingdings"/>
      </w:rPr>
    </w:lvl>
    <w:lvl w:ilvl="8" w:tentative="0">
      <w:start w:val="1"/>
      <w:numFmt w:val="bullet"/>
      <w:lvlText w:val=""/>
      <w:lvlJc w:val="left"/>
      <w:pPr>
        <w:tabs>
          <w:tab w:val="left" w:pos="3780"/>
        </w:tabs>
        <w:ind w:left="4200" w:hanging="420"/>
      </w:pPr>
      <w:rPr>
        <w:rFonts w:hint="default" w:ascii="Wingdings" w:hAnsi="Wingdings"/>
      </w:rPr>
    </w:lvl>
  </w:abstractNum>
  <w:abstractNum w:abstractNumId="2">
    <w:nsid w:val="A7E83D95"/>
    <w:multiLevelType w:val="multilevel"/>
    <w:tmpl w:val="A7E83D95"/>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0"/>
      <w:numFmt w:val="bullet"/>
      <w:lvlText w:val="•"/>
      <w:lvlJc w:val="left"/>
      <w:pPr>
        <w:ind w:left="840" w:hanging="420"/>
      </w:pPr>
      <w:rPr>
        <w:rFonts w:hint="default" w:ascii="Times" w:hAnsi="Times" w:eastAsia="Batang" w:cs="Batang"/>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82"/>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4184E13"/>
    <w:multiLevelType w:val="multilevel"/>
    <w:tmpl w:val="04184E13"/>
    <w:lvl w:ilvl="0" w:tentative="0">
      <w:start w:val="1"/>
      <w:numFmt w:val="bullet"/>
      <w:lvlText w:val=""/>
      <w:lvlJc w:val="left"/>
      <w:pPr>
        <w:ind w:left="760" w:hanging="360"/>
      </w:pPr>
      <w:rPr>
        <w:rFonts w:hint="default" w:ascii="Symbol" w:hAnsi="Symbol"/>
      </w:rPr>
    </w:lvl>
    <w:lvl w:ilvl="1" w:tentative="0">
      <w:start w:val="1"/>
      <w:numFmt w:val="bullet"/>
      <w:lvlText w:val="o"/>
      <w:lvlJc w:val="left"/>
      <w:pPr>
        <w:ind w:left="1360" w:hanging="360"/>
      </w:pPr>
      <w:rPr>
        <w:rFonts w:hint="default" w:ascii="Courier New" w:hAnsi="Courier New" w:cs="Courier New"/>
      </w:rPr>
    </w:lvl>
    <w:lvl w:ilvl="2" w:tentative="0">
      <w:start w:val="1"/>
      <w:numFmt w:val="bullet"/>
      <w:lvlText w:val=""/>
      <w:lvlJc w:val="left"/>
      <w:pPr>
        <w:ind w:left="2200" w:hanging="360"/>
      </w:pPr>
      <w:rPr>
        <w:rFonts w:hint="default" w:ascii="Wingdings" w:hAnsi="Wingdings"/>
      </w:rPr>
    </w:lvl>
    <w:lvl w:ilvl="3" w:tentative="0">
      <w:start w:val="1"/>
      <w:numFmt w:val="bullet"/>
      <w:lvlText w:val=""/>
      <w:lvlJc w:val="left"/>
      <w:pPr>
        <w:ind w:left="2920" w:hanging="360"/>
      </w:pPr>
      <w:rPr>
        <w:rFonts w:hint="default" w:ascii="Symbol" w:hAnsi="Symbol"/>
      </w:rPr>
    </w:lvl>
    <w:lvl w:ilvl="4" w:tentative="0">
      <w:start w:val="1"/>
      <w:numFmt w:val="bullet"/>
      <w:lvlText w:val="o"/>
      <w:lvlJc w:val="left"/>
      <w:pPr>
        <w:ind w:left="3640" w:hanging="360"/>
      </w:pPr>
      <w:rPr>
        <w:rFonts w:hint="default" w:ascii="Courier New" w:hAnsi="Courier New" w:cs="Courier New"/>
      </w:rPr>
    </w:lvl>
    <w:lvl w:ilvl="5" w:tentative="0">
      <w:start w:val="1"/>
      <w:numFmt w:val="bullet"/>
      <w:lvlText w:val=""/>
      <w:lvlJc w:val="left"/>
      <w:pPr>
        <w:ind w:left="4360" w:hanging="360"/>
      </w:pPr>
      <w:rPr>
        <w:rFonts w:hint="default" w:ascii="Wingdings" w:hAnsi="Wingdings"/>
      </w:rPr>
    </w:lvl>
    <w:lvl w:ilvl="6" w:tentative="0">
      <w:start w:val="1"/>
      <w:numFmt w:val="bullet"/>
      <w:lvlText w:val=""/>
      <w:lvlJc w:val="left"/>
      <w:pPr>
        <w:ind w:left="5080" w:hanging="360"/>
      </w:pPr>
      <w:rPr>
        <w:rFonts w:hint="default" w:ascii="Symbol" w:hAnsi="Symbol"/>
      </w:rPr>
    </w:lvl>
    <w:lvl w:ilvl="7" w:tentative="0">
      <w:start w:val="1"/>
      <w:numFmt w:val="bullet"/>
      <w:lvlText w:val="o"/>
      <w:lvlJc w:val="left"/>
      <w:pPr>
        <w:ind w:left="5800" w:hanging="360"/>
      </w:pPr>
      <w:rPr>
        <w:rFonts w:hint="default" w:ascii="Courier New" w:hAnsi="Courier New" w:cs="Courier New"/>
      </w:rPr>
    </w:lvl>
    <w:lvl w:ilvl="8" w:tentative="0">
      <w:start w:val="1"/>
      <w:numFmt w:val="bullet"/>
      <w:lvlText w:val=""/>
      <w:lvlJc w:val="left"/>
      <w:pPr>
        <w:ind w:left="6520" w:hanging="360"/>
      </w:pPr>
      <w:rPr>
        <w:rFonts w:hint="default" w:ascii="Wingdings" w:hAnsi="Wingdings"/>
      </w:rPr>
    </w:lvl>
  </w:abstractNum>
  <w:abstractNum w:abstractNumId="5">
    <w:nsid w:val="060D3FFB"/>
    <w:multiLevelType w:val="multilevel"/>
    <w:tmpl w:val="060D3FFB"/>
    <w:lvl w:ilvl="0" w:tentative="0">
      <w:start w:val="1"/>
      <w:numFmt w:val="bullet"/>
      <w:pStyle w:val="96"/>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C2F2A20"/>
    <w:multiLevelType w:val="multilevel"/>
    <w:tmpl w:val="0C2F2A2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10D15FE4"/>
    <w:multiLevelType w:val="multilevel"/>
    <w:tmpl w:val="10D15FE4"/>
    <w:lvl w:ilvl="0" w:tentative="0">
      <w:start w:val="0"/>
      <w:numFmt w:val="bullet"/>
      <w:lvlText w:val="-"/>
      <w:lvlJc w:val="left"/>
      <w:pPr>
        <w:ind w:left="360" w:hanging="360"/>
      </w:pPr>
      <w:rPr>
        <w:rFonts w:hint="default" w:ascii="Times New Roman" w:hAnsi="Times New Roman" w:eastAsia="微软雅黑"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13AB3846"/>
    <w:multiLevelType w:val="multilevel"/>
    <w:tmpl w:val="13AB384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179023D4"/>
    <w:multiLevelType w:val="multilevel"/>
    <w:tmpl w:val="179023D4"/>
    <w:lvl w:ilvl="0" w:tentative="0">
      <w:start w:val="2"/>
      <w:numFmt w:val="bullet"/>
      <w:lvlText w:val="-"/>
      <w:lvlJc w:val="left"/>
      <w:pPr>
        <w:ind w:left="720" w:hanging="360"/>
      </w:pPr>
      <w:rPr>
        <w:rFonts w:hint="default" w:ascii="Times New Roman" w:hAnsi="Times New Roman" w:cs="Times New Roman" w:eastAsiaTheme="minorEastAsia"/>
      </w:rPr>
    </w:lvl>
    <w:lvl w:ilvl="1" w:tentative="0">
      <w:start w:val="1"/>
      <w:numFmt w:val="bullet"/>
      <w:lvlText w:val="o"/>
      <w:lvlJc w:val="left"/>
      <w:pPr>
        <w:ind w:left="260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24353F0D"/>
    <w:multiLevelType w:val="multilevel"/>
    <w:tmpl w:val="24353F0D"/>
    <w:lvl w:ilvl="0" w:tentative="0">
      <w:start w:val="3"/>
      <w:numFmt w:val="bullet"/>
      <w:lvlText w:val="-"/>
      <w:lvlJc w:val="left"/>
      <w:pPr>
        <w:ind w:left="760" w:hanging="360"/>
      </w:pPr>
      <w:rPr>
        <w:rFonts w:hint="default" w:ascii="Times New Roman" w:hAnsi="Times New Roman" w:eastAsia="Malgun Gothic" w:cs="Times New Roman"/>
      </w:rPr>
    </w:lvl>
    <w:lvl w:ilvl="1" w:tentative="0">
      <w:start w:val="1"/>
      <w:numFmt w:val="bullet"/>
      <w:lvlText w:val=""/>
      <w:lvlJc w:val="left"/>
      <w:pPr>
        <w:ind w:left="1200" w:hanging="400"/>
      </w:pPr>
      <w:rPr>
        <w:rFonts w:hint="default" w:ascii="Symbol" w:hAnsi="Symbol"/>
      </w:rPr>
    </w:lvl>
    <w:lvl w:ilvl="2" w:tentative="0">
      <w:start w:val="1"/>
      <w:numFmt w:val="bullet"/>
      <w:lvlText w:val="o"/>
      <w:lvlJc w:val="left"/>
      <w:pPr>
        <w:ind w:left="1600" w:hanging="400"/>
      </w:pPr>
      <w:rPr>
        <w:rFonts w:hint="default" w:ascii="Courier New" w:hAnsi="Courier New" w:cs="Courier New"/>
      </w:rPr>
    </w:lvl>
    <w:lvl w:ilvl="3" w:tentative="0">
      <w:start w:val="3"/>
      <w:numFmt w:val="bullet"/>
      <w:lvlText w:val="-"/>
      <w:lvlJc w:val="left"/>
      <w:pPr>
        <w:ind w:left="2000" w:hanging="400"/>
      </w:pPr>
      <w:rPr>
        <w:rFonts w:hint="default" w:ascii="Times New Roman" w:hAnsi="Times New Roman" w:eastAsia="Malgun Gothic" w:cs="Times New Roman"/>
      </w:rPr>
    </w:lvl>
    <w:lvl w:ilvl="4" w:tentative="0">
      <w:start w:val="1"/>
      <w:numFmt w:val="bullet"/>
      <w:lvlText w:val=""/>
      <w:lvlJc w:val="left"/>
      <w:pPr>
        <w:ind w:left="2400" w:hanging="400"/>
      </w:pPr>
      <w:rPr>
        <w:rFonts w:hint="default" w:ascii="Wingdings" w:hAnsi="Wingdings"/>
      </w:rPr>
    </w:lvl>
    <w:lvl w:ilvl="5" w:tentative="0">
      <w:start w:val="1"/>
      <w:numFmt w:val="bullet"/>
      <w:lvlText w:val=""/>
      <w:lvlJc w:val="left"/>
      <w:pPr>
        <w:ind w:left="2800" w:hanging="400"/>
      </w:pPr>
      <w:rPr>
        <w:rFonts w:hint="default" w:ascii="Wingdings" w:hAnsi="Wingdings"/>
      </w:rPr>
    </w:lvl>
    <w:lvl w:ilvl="6" w:tentative="0">
      <w:start w:val="1"/>
      <w:numFmt w:val="bullet"/>
      <w:lvlText w:val=""/>
      <w:lvlJc w:val="left"/>
      <w:pPr>
        <w:ind w:left="3200" w:hanging="400"/>
      </w:pPr>
      <w:rPr>
        <w:rFonts w:hint="default" w:ascii="Wingdings" w:hAnsi="Wingdings"/>
      </w:rPr>
    </w:lvl>
    <w:lvl w:ilvl="7" w:tentative="0">
      <w:start w:val="1"/>
      <w:numFmt w:val="bullet"/>
      <w:lvlText w:val=""/>
      <w:lvlJc w:val="left"/>
      <w:pPr>
        <w:ind w:left="3600" w:hanging="400"/>
      </w:pPr>
      <w:rPr>
        <w:rFonts w:hint="default" w:ascii="Wingdings" w:hAnsi="Wingdings"/>
      </w:rPr>
    </w:lvl>
    <w:lvl w:ilvl="8" w:tentative="0">
      <w:start w:val="1"/>
      <w:numFmt w:val="bullet"/>
      <w:lvlText w:val=""/>
      <w:lvlJc w:val="left"/>
      <w:pPr>
        <w:ind w:left="4000" w:hanging="400"/>
      </w:pPr>
      <w:rPr>
        <w:rFonts w:hint="default" w:ascii="Wingdings" w:hAnsi="Wingdings"/>
      </w:rPr>
    </w:lvl>
  </w:abstractNum>
  <w:abstractNum w:abstractNumId="11">
    <w:nsid w:val="35EA1E3A"/>
    <w:multiLevelType w:val="multilevel"/>
    <w:tmpl w:val="35EA1E3A"/>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59A18625"/>
    <w:multiLevelType w:val="multilevel"/>
    <w:tmpl w:val="59A18625"/>
    <w:lvl w:ilvl="0" w:tentative="0">
      <w:start w:val="0"/>
      <w:numFmt w:val="bullet"/>
      <w:lvlText w:val="-"/>
      <w:lvlJc w:val="left"/>
      <w:pPr>
        <w:ind w:left="-400" w:hanging="360"/>
      </w:pPr>
      <w:rPr>
        <w:rFonts w:hint="default" w:ascii="Times New Roman" w:hAnsi="Times New Roman" w:eastAsia="微软雅黑" w:cs="Times New Roman"/>
      </w:rPr>
    </w:lvl>
    <w:lvl w:ilvl="1" w:tentative="0">
      <w:start w:val="10"/>
      <w:numFmt w:val="bullet"/>
      <w:lvlText w:val="•"/>
      <w:lvlJc w:val="left"/>
      <w:pPr>
        <w:ind w:left="840" w:hanging="420"/>
      </w:pPr>
      <w:rPr>
        <w:rFonts w:hint="default" w:ascii="Times" w:hAnsi="Times" w:eastAsia="Batang" w:cs="Batang"/>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5B977CE4"/>
    <w:multiLevelType w:val="multilevel"/>
    <w:tmpl w:val="5B977CE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4">
    <w:nsid w:val="5F1912B1"/>
    <w:multiLevelType w:val="multilevel"/>
    <w:tmpl w:val="5F1912B1"/>
    <w:lvl w:ilvl="0" w:tentative="0">
      <w:start w:val="1"/>
      <w:numFmt w:val="bullet"/>
      <w:pStyle w:val="69"/>
      <w:lvlText w:val=""/>
      <w:lvlJc w:val="left"/>
      <w:pPr>
        <w:ind w:left="720" w:hanging="360"/>
      </w:pPr>
      <w:rPr>
        <w:rFonts w:hint="default" w:ascii="Symbol" w:hAnsi="Symbol"/>
      </w:rPr>
    </w:lvl>
    <w:lvl w:ilvl="1" w:tentative="0">
      <w:start w:val="1"/>
      <w:numFmt w:val="bullet"/>
      <w:pStyle w:val="81"/>
      <w:lvlText w:val="o"/>
      <w:lvlJc w:val="left"/>
      <w:pPr>
        <w:ind w:left="1440" w:hanging="360"/>
      </w:pPr>
      <w:rPr>
        <w:rFonts w:hint="default" w:ascii="Courier New" w:hAnsi="Courier New" w:cs="Courier New"/>
      </w:rPr>
    </w:lvl>
    <w:lvl w:ilvl="2" w:tentative="0">
      <w:start w:val="1"/>
      <w:numFmt w:val="bullet"/>
      <w:pStyle w:val="42"/>
      <w:lvlText w:val=""/>
      <w:lvlJc w:val="left"/>
      <w:pPr>
        <w:ind w:left="2160" w:hanging="360"/>
      </w:pPr>
      <w:rPr>
        <w:rFonts w:hint="default" w:ascii="Wingdings" w:hAnsi="Wingdings"/>
      </w:rPr>
    </w:lvl>
    <w:lvl w:ilvl="3" w:tentative="0">
      <w:start w:val="1"/>
      <w:numFmt w:val="bullet"/>
      <w:pStyle w:val="103"/>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5">
    <w:nsid w:val="618869EA"/>
    <w:multiLevelType w:val="multilevel"/>
    <w:tmpl w:val="618869EA"/>
    <w:lvl w:ilvl="0" w:tentative="0">
      <w:start w:val="1"/>
      <w:numFmt w:val="decimal"/>
      <w:pStyle w:val="2"/>
      <w:lvlText w:val="%1."/>
      <w:lvlJc w:val="left"/>
      <w:pPr>
        <w:tabs>
          <w:tab w:val="left" w:pos="432"/>
        </w:tabs>
        <w:ind w:left="432" w:hanging="432"/>
      </w:pPr>
      <w:rPr>
        <w:rFonts w:hint="eastAsia"/>
        <w:b/>
        <w:i w:val="0"/>
        <w:sz w:val="28"/>
      </w:rPr>
    </w:lvl>
    <w:lvl w:ilvl="1" w:tentative="0">
      <w:start w:val="1"/>
      <w:numFmt w:val="decimal"/>
      <w:lvlText w:val="%1.%2"/>
      <w:lvlJc w:val="left"/>
      <w:pPr>
        <w:tabs>
          <w:tab w:val="left" w:pos="576"/>
        </w:tabs>
        <w:ind w:left="576" w:hanging="576"/>
      </w:pPr>
      <w:rPr>
        <w:rFonts w:hint="eastAsia"/>
        <w:b/>
        <w:i w:val="0"/>
        <w:sz w:val="28"/>
      </w:rPr>
    </w:lvl>
    <w:lvl w:ilvl="2" w:tentative="0">
      <w:start w:val="1"/>
      <w:numFmt w:val="decimal"/>
      <w:pStyle w:val="4"/>
      <w:lvlText w:val="%1.%2.%3"/>
      <w:lvlJc w:val="left"/>
      <w:pPr>
        <w:tabs>
          <w:tab w:val="left" w:pos="720"/>
        </w:tabs>
        <w:ind w:left="720" w:hanging="720"/>
      </w:pPr>
      <w:rPr>
        <w:rFonts w:hint="eastAsia"/>
        <w:b/>
        <w:i w:val="0"/>
        <w:sz w:val="24"/>
        <w:szCs w:val="24"/>
      </w:rPr>
    </w:lvl>
    <w:lvl w:ilvl="3" w:tentative="0">
      <w:start w:val="1"/>
      <w:numFmt w:val="decimal"/>
      <w:lvlText w:val="%1.%2.%3.%4"/>
      <w:lvlJc w:val="left"/>
      <w:pPr>
        <w:tabs>
          <w:tab w:val="left" w:pos="864"/>
        </w:tabs>
        <w:ind w:left="864" w:hanging="864"/>
      </w:pPr>
      <w:rPr>
        <w:rFonts w:hint="eastAsia"/>
        <w:b/>
        <w:i w:val="0"/>
        <w:sz w:val="21"/>
      </w:rPr>
    </w:lvl>
    <w:lvl w:ilvl="4" w:tentative="0">
      <w:start w:val="1"/>
      <w:numFmt w:val="decimal"/>
      <w:lvlText w:val="%1.%2.%3.%4.%5"/>
      <w:lvlJc w:val="left"/>
      <w:pPr>
        <w:tabs>
          <w:tab w:val="left" w:pos="1008"/>
        </w:tabs>
        <w:ind w:left="1008" w:hanging="1008"/>
      </w:pPr>
      <w:rPr>
        <w:rFonts w:hint="eastAsia"/>
        <w:b/>
        <w:i w:val="0"/>
        <w:sz w:val="21"/>
      </w:rPr>
    </w:lvl>
    <w:lvl w:ilvl="5" w:tentative="0">
      <w:start w:val="1"/>
      <w:numFmt w:val="decimal"/>
      <w:isLg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16">
    <w:nsid w:val="6728BC38"/>
    <w:multiLevelType w:val="singleLevel"/>
    <w:tmpl w:val="6728BC38"/>
    <w:lvl w:ilvl="0" w:tentative="0">
      <w:start w:val="1"/>
      <w:numFmt w:val="bullet"/>
      <w:lvlText w:val=""/>
      <w:lvlJc w:val="left"/>
      <w:pPr>
        <w:tabs>
          <w:tab w:val="left" w:pos="420"/>
        </w:tabs>
        <w:ind w:left="840" w:hanging="420"/>
      </w:pPr>
      <w:rPr>
        <w:rFonts w:hint="default" w:ascii="Wingdings" w:hAnsi="Wingdings"/>
        <w:sz w:val="16"/>
        <w:szCs w:val="16"/>
      </w:rPr>
    </w:lvl>
  </w:abstractNum>
  <w:abstractNum w:abstractNumId="17">
    <w:nsid w:val="69551C99"/>
    <w:multiLevelType w:val="multilevel"/>
    <w:tmpl w:val="69551C9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D0AC1B0"/>
    <w:multiLevelType w:val="multilevel"/>
    <w:tmpl w:val="6D0AC1B0"/>
    <w:lvl w:ilvl="0" w:tentative="0">
      <w:start w:val="3"/>
      <w:numFmt w:val="bullet"/>
      <w:lvlText w:val="-"/>
      <w:lvlJc w:val="left"/>
      <w:pPr>
        <w:tabs>
          <w:tab w:val="left" w:pos="-420"/>
        </w:tabs>
        <w:ind w:left="340" w:hanging="360"/>
      </w:pPr>
      <w:rPr>
        <w:rFonts w:hint="default" w:ascii="Times New Roman" w:hAnsi="Times New Roman" w:eastAsia="Malgun Gothic" w:cs="Arial"/>
      </w:rPr>
    </w:lvl>
    <w:lvl w:ilvl="1" w:tentative="0">
      <w:start w:val="1"/>
      <w:numFmt w:val="bullet"/>
      <w:lvlText w:val=""/>
      <w:lvlJc w:val="left"/>
      <w:pPr>
        <w:tabs>
          <w:tab w:val="left" w:pos="-420"/>
        </w:tabs>
        <w:ind w:left="780" w:hanging="400"/>
      </w:pPr>
      <w:rPr>
        <w:rFonts w:hint="default" w:ascii="Symbol" w:hAnsi="Symbol"/>
      </w:rPr>
    </w:lvl>
    <w:lvl w:ilvl="2" w:tentative="0">
      <w:start w:val="1"/>
      <w:numFmt w:val="bullet"/>
      <w:lvlText w:val="o"/>
      <w:lvlJc w:val="left"/>
      <w:pPr>
        <w:tabs>
          <w:tab w:val="left" w:pos="-420"/>
        </w:tabs>
        <w:ind w:left="1180" w:hanging="400"/>
      </w:pPr>
      <w:rPr>
        <w:rFonts w:hint="default" w:ascii="Courier New" w:hAnsi="Courier New" w:cs="Courier New"/>
      </w:rPr>
    </w:lvl>
    <w:lvl w:ilvl="3" w:tentative="0">
      <w:start w:val="3"/>
      <w:numFmt w:val="bullet"/>
      <w:lvlText w:val="-"/>
      <w:lvlJc w:val="left"/>
      <w:pPr>
        <w:tabs>
          <w:tab w:val="left" w:pos="-420"/>
        </w:tabs>
        <w:ind w:left="1580" w:hanging="400"/>
      </w:pPr>
      <w:rPr>
        <w:rFonts w:hint="default" w:ascii="Times New Roman" w:hAnsi="Times New Roman" w:eastAsia="Malgun Gothic" w:cs="Arial"/>
      </w:rPr>
    </w:lvl>
    <w:lvl w:ilvl="4" w:tentative="0">
      <w:start w:val="1"/>
      <w:numFmt w:val="bullet"/>
      <w:lvlText w:val=""/>
      <w:lvlJc w:val="left"/>
      <w:pPr>
        <w:tabs>
          <w:tab w:val="left" w:pos="-420"/>
        </w:tabs>
        <w:ind w:left="1980" w:hanging="400"/>
      </w:pPr>
      <w:rPr>
        <w:rFonts w:hint="default" w:ascii="Wingdings" w:hAnsi="Wingdings"/>
      </w:rPr>
    </w:lvl>
    <w:lvl w:ilvl="5" w:tentative="0">
      <w:start w:val="1"/>
      <w:numFmt w:val="bullet"/>
      <w:lvlText w:val=""/>
      <w:lvlJc w:val="left"/>
      <w:pPr>
        <w:tabs>
          <w:tab w:val="left" w:pos="-420"/>
        </w:tabs>
        <w:ind w:left="2380" w:hanging="400"/>
      </w:pPr>
      <w:rPr>
        <w:rFonts w:hint="default" w:ascii="Wingdings" w:hAnsi="Wingdings"/>
      </w:rPr>
    </w:lvl>
    <w:lvl w:ilvl="6" w:tentative="0">
      <w:start w:val="1"/>
      <w:numFmt w:val="bullet"/>
      <w:lvlText w:val=""/>
      <w:lvlJc w:val="left"/>
      <w:pPr>
        <w:tabs>
          <w:tab w:val="left" w:pos="-420"/>
        </w:tabs>
        <w:ind w:left="2780" w:hanging="400"/>
      </w:pPr>
      <w:rPr>
        <w:rFonts w:hint="default" w:ascii="Wingdings" w:hAnsi="Wingdings"/>
      </w:rPr>
    </w:lvl>
    <w:lvl w:ilvl="7" w:tentative="0">
      <w:start w:val="1"/>
      <w:numFmt w:val="bullet"/>
      <w:lvlText w:val=""/>
      <w:lvlJc w:val="left"/>
      <w:pPr>
        <w:tabs>
          <w:tab w:val="left" w:pos="-420"/>
        </w:tabs>
        <w:ind w:left="3180" w:hanging="400"/>
      </w:pPr>
      <w:rPr>
        <w:rFonts w:hint="default" w:ascii="Wingdings" w:hAnsi="Wingdings"/>
      </w:rPr>
    </w:lvl>
    <w:lvl w:ilvl="8" w:tentative="0">
      <w:start w:val="1"/>
      <w:numFmt w:val="bullet"/>
      <w:lvlText w:val=""/>
      <w:lvlJc w:val="left"/>
      <w:pPr>
        <w:tabs>
          <w:tab w:val="left" w:pos="-420"/>
        </w:tabs>
        <w:ind w:left="3580" w:hanging="400"/>
      </w:pPr>
      <w:rPr>
        <w:rFonts w:hint="default" w:ascii="Wingdings" w:hAnsi="Wingdings"/>
      </w:rPr>
    </w:lvl>
  </w:abstractNum>
  <w:abstractNum w:abstractNumId="19">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9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0">
    <w:nsid w:val="7D501B88"/>
    <w:multiLevelType w:val="multilevel"/>
    <w:tmpl w:val="7D501B88"/>
    <w:lvl w:ilvl="0" w:tentative="0">
      <w:start w:val="1"/>
      <w:numFmt w:val="bullet"/>
      <w:lvlText w:val="-"/>
      <w:lvlJc w:val="left"/>
      <w:pPr>
        <w:ind w:left="360" w:hanging="360"/>
      </w:pPr>
      <w:rPr>
        <w:rFonts w:hint="default" w:ascii="Times New Roman" w:hAnsi="Times New Roman" w:eastAsia="宋体" w:cs="Times New Roman"/>
      </w:rPr>
    </w:lvl>
    <w:lvl w:ilvl="1" w:tentative="0">
      <w:start w:val="0"/>
      <w:numFmt w:val="bullet"/>
      <w:lvlText w:val="-"/>
      <w:lvlJc w:val="left"/>
      <w:pPr>
        <w:ind w:left="840" w:hanging="420"/>
      </w:pPr>
      <w:rPr>
        <w:rFonts w:hint="default" w:ascii="Times New Roman" w:hAnsi="Times New Roman" w:eastAsia="Times New Roman" w:cs="Times New Roman"/>
        <w:b/>
        <w:sz w:val="20"/>
        <w:u w:val="none"/>
        <w:lang w:val="en-GB"/>
      </w:rPr>
    </w:lvl>
    <w:lvl w:ilvl="2" w:tentative="0">
      <w:start w:val="0"/>
      <w:numFmt w:val="bullet"/>
      <w:lvlText w:val="◦"/>
      <w:lvlJc w:val="left"/>
      <w:pPr>
        <w:ind w:left="1260" w:hanging="420"/>
      </w:pPr>
      <w:rPr>
        <w:rFonts w:hint="default" w:ascii="Arial" w:hAnsi="Arial"/>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1">
    <w:nsid w:val="7F397D16"/>
    <w:multiLevelType w:val="multilevel"/>
    <w:tmpl w:val="7F397D16"/>
    <w:lvl w:ilvl="0" w:tentative="0">
      <w:start w:val="1"/>
      <w:numFmt w:val="bullet"/>
      <w:lvlText w:val="-"/>
      <w:lvlJc w:val="left"/>
      <w:pPr>
        <w:ind w:left="0" w:hanging="360"/>
      </w:pPr>
      <w:rPr>
        <w:rFonts w:hint="default" w:ascii="Times New Roman" w:hAnsi="Times New Roman" w:eastAsia="宋体" w:cs="Times New Roman"/>
      </w:rPr>
    </w:lvl>
    <w:lvl w:ilvl="1" w:tentative="0">
      <w:start w:val="0"/>
      <w:numFmt w:val="bullet"/>
      <w:lvlText w:val="-"/>
      <w:lvlJc w:val="left"/>
      <w:pPr>
        <w:ind w:left="80" w:hanging="420"/>
      </w:pPr>
      <w:rPr>
        <w:rFonts w:hint="default" w:ascii="Times New Roman" w:hAnsi="Times New Roman" w:eastAsia="Times New Roman" w:cs="Times New Roman"/>
        <w:b/>
        <w:sz w:val="20"/>
        <w:u w:val="none"/>
        <w:lang w:val="en-GB"/>
      </w:rPr>
    </w:lvl>
    <w:lvl w:ilvl="2" w:tentative="0">
      <w:start w:val="0"/>
      <w:numFmt w:val="bullet"/>
      <w:lvlText w:val="◦"/>
      <w:lvlJc w:val="left"/>
      <w:pPr>
        <w:ind w:left="500" w:hanging="420"/>
      </w:pPr>
      <w:rPr>
        <w:rFonts w:hint="default" w:ascii="Arial" w:hAnsi="Arial"/>
      </w:rPr>
    </w:lvl>
    <w:lvl w:ilvl="3" w:tentative="0">
      <w:start w:val="1"/>
      <w:numFmt w:val="bullet"/>
      <w:lvlText w:val=""/>
      <w:lvlJc w:val="left"/>
      <w:pPr>
        <w:ind w:left="920" w:hanging="420"/>
      </w:pPr>
      <w:rPr>
        <w:rFonts w:hint="default" w:ascii="Wingdings" w:hAnsi="Wingdings"/>
      </w:rPr>
    </w:lvl>
    <w:lvl w:ilvl="4" w:tentative="0">
      <w:start w:val="1"/>
      <w:numFmt w:val="bullet"/>
      <w:lvlText w:val=""/>
      <w:lvlJc w:val="left"/>
      <w:pPr>
        <w:ind w:left="1340" w:hanging="420"/>
      </w:pPr>
      <w:rPr>
        <w:rFonts w:hint="default" w:ascii="Wingdings" w:hAnsi="Wingdings"/>
      </w:rPr>
    </w:lvl>
    <w:lvl w:ilvl="5" w:tentative="0">
      <w:start w:val="1"/>
      <w:numFmt w:val="bullet"/>
      <w:lvlText w:val=""/>
      <w:lvlJc w:val="left"/>
      <w:pPr>
        <w:ind w:left="1760" w:hanging="420"/>
      </w:pPr>
      <w:rPr>
        <w:rFonts w:hint="default" w:ascii="Wingdings" w:hAnsi="Wingdings"/>
      </w:rPr>
    </w:lvl>
    <w:lvl w:ilvl="6" w:tentative="0">
      <w:start w:val="1"/>
      <w:numFmt w:val="bullet"/>
      <w:lvlText w:val=""/>
      <w:lvlJc w:val="left"/>
      <w:pPr>
        <w:ind w:left="2180" w:hanging="420"/>
      </w:pPr>
      <w:rPr>
        <w:rFonts w:hint="default" w:ascii="Wingdings" w:hAnsi="Wingdings"/>
      </w:rPr>
    </w:lvl>
    <w:lvl w:ilvl="7" w:tentative="0">
      <w:start w:val="1"/>
      <w:numFmt w:val="bullet"/>
      <w:lvlText w:val=""/>
      <w:lvlJc w:val="left"/>
      <w:pPr>
        <w:ind w:left="2600" w:hanging="420"/>
      </w:pPr>
      <w:rPr>
        <w:rFonts w:hint="default" w:ascii="Wingdings" w:hAnsi="Wingdings"/>
      </w:rPr>
    </w:lvl>
    <w:lvl w:ilvl="8" w:tentative="0">
      <w:start w:val="1"/>
      <w:numFmt w:val="bullet"/>
      <w:lvlText w:val=""/>
      <w:lvlJc w:val="left"/>
      <w:pPr>
        <w:ind w:left="3020" w:hanging="420"/>
      </w:pPr>
      <w:rPr>
        <w:rFonts w:hint="default" w:ascii="Wingdings" w:hAnsi="Wingdings"/>
      </w:rPr>
    </w:lvl>
  </w:abstractNum>
  <w:num w:numId="1">
    <w:abstractNumId w:val="15"/>
  </w:num>
  <w:num w:numId="2">
    <w:abstractNumId w:val="14"/>
  </w:num>
  <w:num w:numId="3">
    <w:abstractNumId w:val="3"/>
  </w:num>
  <w:num w:numId="4">
    <w:abstractNumId w:val="19"/>
  </w:num>
  <w:num w:numId="5">
    <w:abstractNumId w:val="5"/>
  </w:num>
  <w:num w:numId="6">
    <w:abstractNumId w:val="11"/>
  </w:num>
  <w:num w:numId="7">
    <w:abstractNumId w:val="8"/>
  </w:num>
  <w:num w:numId="8">
    <w:abstractNumId w:val="0"/>
  </w:num>
  <w:num w:numId="9">
    <w:abstractNumId w:val="2"/>
  </w:num>
  <w:num w:numId="10">
    <w:abstractNumId w:val="10"/>
  </w:num>
  <w:num w:numId="11">
    <w:abstractNumId w:val="20"/>
  </w:num>
  <w:num w:numId="12">
    <w:abstractNumId w:val="4"/>
  </w:num>
  <w:num w:numId="13">
    <w:abstractNumId w:val="21"/>
  </w:num>
  <w:num w:numId="14">
    <w:abstractNumId w:val="7"/>
  </w:num>
  <w:num w:numId="15">
    <w:abstractNumId w:val="9"/>
  </w:num>
  <w:num w:numId="16">
    <w:abstractNumId w:val="17"/>
  </w:num>
  <w:num w:numId="17">
    <w:abstractNumId w:val="12"/>
  </w:num>
  <w:num w:numId="18">
    <w:abstractNumId w:val="6"/>
  </w:num>
  <w:num w:numId="19">
    <w:abstractNumId w:val="18"/>
  </w:num>
  <w:num w:numId="20">
    <w:abstractNumId w:val="13"/>
  </w:num>
  <w:num w:numId="21">
    <w:abstractNumId w:val="16"/>
  </w:num>
  <w:num w:numId="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trackRevisions w:val="1"/>
  <w:documentProtection w:enforcement="0"/>
  <w:defaultTabStop w:val="720"/>
  <w:noPunctuationKerning w:val="1"/>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D5"/>
    <w:rsid w:val="00000589"/>
    <w:rsid w:val="00000FFB"/>
    <w:rsid w:val="00001908"/>
    <w:rsid w:val="00001B9A"/>
    <w:rsid w:val="00002071"/>
    <w:rsid w:val="000021BD"/>
    <w:rsid w:val="000022D5"/>
    <w:rsid w:val="00002C54"/>
    <w:rsid w:val="00002EA0"/>
    <w:rsid w:val="0000475E"/>
    <w:rsid w:val="000049AC"/>
    <w:rsid w:val="00004ED1"/>
    <w:rsid w:val="0000557C"/>
    <w:rsid w:val="000055D1"/>
    <w:rsid w:val="00005762"/>
    <w:rsid w:val="000057B9"/>
    <w:rsid w:val="000062AC"/>
    <w:rsid w:val="0000637C"/>
    <w:rsid w:val="000064CE"/>
    <w:rsid w:val="000066C6"/>
    <w:rsid w:val="000066E7"/>
    <w:rsid w:val="00006711"/>
    <w:rsid w:val="000068DA"/>
    <w:rsid w:val="00006A0E"/>
    <w:rsid w:val="00006CC8"/>
    <w:rsid w:val="0000705B"/>
    <w:rsid w:val="00007304"/>
    <w:rsid w:val="00007EEB"/>
    <w:rsid w:val="00010512"/>
    <w:rsid w:val="00010969"/>
    <w:rsid w:val="000114C3"/>
    <w:rsid w:val="000114F8"/>
    <w:rsid w:val="00011890"/>
    <w:rsid w:val="00011BB4"/>
    <w:rsid w:val="00011C8C"/>
    <w:rsid w:val="00011CE0"/>
    <w:rsid w:val="00012115"/>
    <w:rsid w:val="000123B6"/>
    <w:rsid w:val="000128EC"/>
    <w:rsid w:val="00012E08"/>
    <w:rsid w:val="00012E58"/>
    <w:rsid w:val="000132A2"/>
    <w:rsid w:val="00013C5E"/>
    <w:rsid w:val="00014115"/>
    <w:rsid w:val="0001445A"/>
    <w:rsid w:val="00014604"/>
    <w:rsid w:val="0001555C"/>
    <w:rsid w:val="000164F2"/>
    <w:rsid w:val="00016BE3"/>
    <w:rsid w:val="0001758E"/>
    <w:rsid w:val="00017916"/>
    <w:rsid w:val="0001796D"/>
    <w:rsid w:val="00017CFA"/>
    <w:rsid w:val="00017E5A"/>
    <w:rsid w:val="0002047C"/>
    <w:rsid w:val="000204F2"/>
    <w:rsid w:val="0002066E"/>
    <w:rsid w:val="00020B43"/>
    <w:rsid w:val="00020ECF"/>
    <w:rsid w:val="000215D1"/>
    <w:rsid w:val="0002160B"/>
    <w:rsid w:val="00021644"/>
    <w:rsid w:val="00021E90"/>
    <w:rsid w:val="0002242E"/>
    <w:rsid w:val="0002249A"/>
    <w:rsid w:val="00022684"/>
    <w:rsid w:val="000228FC"/>
    <w:rsid w:val="00022C5F"/>
    <w:rsid w:val="000235A2"/>
    <w:rsid w:val="000235FB"/>
    <w:rsid w:val="00023951"/>
    <w:rsid w:val="000244B9"/>
    <w:rsid w:val="000244CA"/>
    <w:rsid w:val="00024585"/>
    <w:rsid w:val="000248B9"/>
    <w:rsid w:val="00025226"/>
    <w:rsid w:val="00025695"/>
    <w:rsid w:val="000257BD"/>
    <w:rsid w:val="00025E0F"/>
    <w:rsid w:val="00025F6C"/>
    <w:rsid w:val="00026826"/>
    <w:rsid w:val="00026B95"/>
    <w:rsid w:val="00026C59"/>
    <w:rsid w:val="000271B7"/>
    <w:rsid w:val="00027712"/>
    <w:rsid w:val="00027B55"/>
    <w:rsid w:val="00027D0A"/>
    <w:rsid w:val="00027E02"/>
    <w:rsid w:val="000303C2"/>
    <w:rsid w:val="0003074F"/>
    <w:rsid w:val="00030C02"/>
    <w:rsid w:val="00030F5B"/>
    <w:rsid w:val="00031061"/>
    <w:rsid w:val="0003128F"/>
    <w:rsid w:val="00031444"/>
    <w:rsid w:val="00031458"/>
    <w:rsid w:val="0003180D"/>
    <w:rsid w:val="00032289"/>
    <w:rsid w:val="000322B0"/>
    <w:rsid w:val="00032A4C"/>
    <w:rsid w:val="000332EA"/>
    <w:rsid w:val="00033359"/>
    <w:rsid w:val="00033505"/>
    <w:rsid w:val="00033B22"/>
    <w:rsid w:val="00033D39"/>
    <w:rsid w:val="0003435B"/>
    <w:rsid w:val="00034540"/>
    <w:rsid w:val="00034779"/>
    <w:rsid w:val="000352E3"/>
    <w:rsid w:val="0003537A"/>
    <w:rsid w:val="000354E6"/>
    <w:rsid w:val="00036055"/>
    <w:rsid w:val="00036250"/>
    <w:rsid w:val="00037260"/>
    <w:rsid w:val="0003750E"/>
    <w:rsid w:val="00037AF2"/>
    <w:rsid w:val="000402A0"/>
    <w:rsid w:val="000402FC"/>
    <w:rsid w:val="00041506"/>
    <w:rsid w:val="00041CAB"/>
    <w:rsid w:val="00041CBB"/>
    <w:rsid w:val="00041E63"/>
    <w:rsid w:val="00041F46"/>
    <w:rsid w:val="00042A43"/>
    <w:rsid w:val="00042CEC"/>
    <w:rsid w:val="000432D7"/>
    <w:rsid w:val="00043334"/>
    <w:rsid w:val="0004359F"/>
    <w:rsid w:val="0004370C"/>
    <w:rsid w:val="000443DB"/>
    <w:rsid w:val="00044C0B"/>
    <w:rsid w:val="00044FF3"/>
    <w:rsid w:val="00045271"/>
    <w:rsid w:val="0004545B"/>
    <w:rsid w:val="000454E2"/>
    <w:rsid w:val="000458E6"/>
    <w:rsid w:val="00045E51"/>
    <w:rsid w:val="00045F11"/>
    <w:rsid w:val="00046EFA"/>
    <w:rsid w:val="000476D8"/>
    <w:rsid w:val="00050153"/>
    <w:rsid w:val="00050399"/>
    <w:rsid w:val="000504C2"/>
    <w:rsid w:val="000505BE"/>
    <w:rsid w:val="00050932"/>
    <w:rsid w:val="000518D2"/>
    <w:rsid w:val="00051A81"/>
    <w:rsid w:val="00051CF3"/>
    <w:rsid w:val="00051FF0"/>
    <w:rsid w:val="0005252F"/>
    <w:rsid w:val="00052E16"/>
    <w:rsid w:val="00052E69"/>
    <w:rsid w:val="00053425"/>
    <w:rsid w:val="0005362F"/>
    <w:rsid w:val="000536E7"/>
    <w:rsid w:val="00053A19"/>
    <w:rsid w:val="00053C96"/>
    <w:rsid w:val="0005428B"/>
    <w:rsid w:val="00054550"/>
    <w:rsid w:val="0005463C"/>
    <w:rsid w:val="00054700"/>
    <w:rsid w:val="000549F0"/>
    <w:rsid w:val="000554D2"/>
    <w:rsid w:val="00055624"/>
    <w:rsid w:val="0005594E"/>
    <w:rsid w:val="000559F1"/>
    <w:rsid w:val="00055DB2"/>
    <w:rsid w:val="0005716B"/>
    <w:rsid w:val="0005757D"/>
    <w:rsid w:val="00057AC7"/>
    <w:rsid w:val="000600F5"/>
    <w:rsid w:val="00060A3F"/>
    <w:rsid w:val="00060BF4"/>
    <w:rsid w:val="00060F20"/>
    <w:rsid w:val="00060FDD"/>
    <w:rsid w:val="00061065"/>
    <w:rsid w:val="000618CF"/>
    <w:rsid w:val="000624B4"/>
    <w:rsid w:val="000627C2"/>
    <w:rsid w:val="00062D55"/>
    <w:rsid w:val="00062DBD"/>
    <w:rsid w:val="00062F51"/>
    <w:rsid w:val="00063D7B"/>
    <w:rsid w:val="0006414C"/>
    <w:rsid w:val="000644E3"/>
    <w:rsid w:val="000651F3"/>
    <w:rsid w:val="0006524F"/>
    <w:rsid w:val="00065483"/>
    <w:rsid w:val="00065AC9"/>
    <w:rsid w:val="00065ADE"/>
    <w:rsid w:val="00065B15"/>
    <w:rsid w:val="00065D29"/>
    <w:rsid w:val="00065D58"/>
    <w:rsid w:val="000661FA"/>
    <w:rsid w:val="000664D9"/>
    <w:rsid w:val="00066556"/>
    <w:rsid w:val="00066A38"/>
    <w:rsid w:val="000670FB"/>
    <w:rsid w:val="000673C8"/>
    <w:rsid w:val="00067752"/>
    <w:rsid w:val="00067F36"/>
    <w:rsid w:val="000703F0"/>
    <w:rsid w:val="0007066B"/>
    <w:rsid w:val="00070889"/>
    <w:rsid w:val="000708DF"/>
    <w:rsid w:val="00071CCB"/>
    <w:rsid w:val="00071F92"/>
    <w:rsid w:val="0007309B"/>
    <w:rsid w:val="00073715"/>
    <w:rsid w:val="000738FD"/>
    <w:rsid w:val="00073A92"/>
    <w:rsid w:val="00074888"/>
    <w:rsid w:val="00074A32"/>
    <w:rsid w:val="00074B8B"/>
    <w:rsid w:val="0007636A"/>
    <w:rsid w:val="000768A6"/>
    <w:rsid w:val="0007696E"/>
    <w:rsid w:val="0007723B"/>
    <w:rsid w:val="00077B57"/>
    <w:rsid w:val="00077BF8"/>
    <w:rsid w:val="00077CAD"/>
    <w:rsid w:val="000800AF"/>
    <w:rsid w:val="0008046A"/>
    <w:rsid w:val="00080A41"/>
    <w:rsid w:val="00080BB6"/>
    <w:rsid w:val="0008126C"/>
    <w:rsid w:val="000816E9"/>
    <w:rsid w:val="00082030"/>
    <w:rsid w:val="00082E47"/>
    <w:rsid w:val="00082E4E"/>
    <w:rsid w:val="000848BD"/>
    <w:rsid w:val="00084F2B"/>
    <w:rsid w:val="0008525F"/>
    <w:rsid w:val="00085CA5"/>
    <w:rsid w:val="00086248"/>
    <w:rsid w:val="00086793"/>
    <w:rsid w:val="000867CC"/>
    <w:rsid w:val="000871F4"/>
    <w:rsid w:val="000902F8"/>
    <w:rsid w:val="000903CA"/>
    <w:rsid w:val="00090C79"/>
    <w:rsid w:val="00090D90"/>
    <w:rsid w:val="00090E09"/>
    <w:rsid w:val="00091853"/>
    <w:rsid w:val="00091ABB"/>
    <w:rsid w:val="00091BAA"/>
    <w:rsid w:val="00091D9B"/>
    <w:rsid w:val="00092B46"/>
    <w:rsid w:val="00092BA8"/>
    <w:rsid w:val="00092C57"/>
    <w:rsid w:val="00092CCA"/>
    <w:rsid w:val="0009334E"/>
    <w:rsid w:val="000934B3"/>
    <w:rsid w:val="00094955"/>
    <w:rsid w:val="0009551E"/>
    <w:rsid w:val="000955A4"/>
    <w:rsid w:val="00096998"/>
    <w:rsid w:val="00096B1B"/>
    <w:rsid w:val="00096FC1"/>
    <w:rsid w:val="00097059"/>
    <w:rsid w:val="00097434"/>
    <w:rsid w:val="0009766A"/>
    <w:rsid w:val="000A030E"/>
    <w:rsid w:val="000A06DC"/>
    <w:rsid w:val="000A1279"/>
    <w:rsid w:val="000A145E"/>
    <w:rsid w:val="000A1C7B"/>
    <w:rsid w:val="000A1C7D"/>
    <w:rsid w:val="000A1E32"/>
    <w:rsid w:val="000A2710"/>
    <w:rsid w:val="000A2BF8"/>
    <w:rsid w:val="000A3632"/>
    <w:rsid w:val="000A383F"/>
    <w:rsid w:val="000A436D"/>
    <w:rsid w:val="000A53B8"/>
    <w:rsid w:val="000A56C6"/>
    <w:rsid w:val="000A5C88"/>
    <w:rsid w:val="000A5FF8"/>
    <w:rsid w:val="000A61C7"/>
    <w:rsid w:val="000A62EA"/>
    <w:rsid w:val="000A6303"/>
    <w:rsid w:val="000A777F"/>
    <w:rsid w:val="000B00E0"/>
    <w:rsid w:val="000B0383"/>
    <w:rsid w:val="000B11FA"/>
    <w:rsid w:val="000B19F9"/>
    <w:rsid w:val="000B1A32"/>
    <w:rsid w:val="000B25C3"/>
    <w:rsid w:val="000B332B"/>
    <w:rsid w:val="000B3883"/>
    <w:rsid w:val="000B3BA7"/>
    <w:rsid w:val="000B3FCA"/>
    <w:rsid w:val="000B41A0"/>
    <w:rsid w:val="000B4991"/>
    <w:rsid w:val="000B4DBC"/>
    <w:rsid w:val="000B5922"/>
    <w:rsid w:val="000B5A19"/>
    <w:rsid w:val="000B606A"/>
    <w:rsid w:val="000B6302"/>
    <w:rsid w:val="000B6CCA"/>
    <w:rsid w:val="000B6E5F"/>
    <w:rsid w:val="000B7775"/>
    <w:rsid w:val="000B7B43"/>
    <w:rsid w:val="000C0010"/>
    <w:rsid w:val="000C04EB"/>
    <w:rsid w:val="000C050C"/>
    <w:rsid w:val="000C08A3"/>
    <w:rsid w:val="000C0D53"/>
    <w:rsid w:val="000C0E9F"/>
    <w:rsid w:val="000C0FA8"/>
    <w:rsid w:val="000C10C4"/>
    <w:rsid w:val="000C11B9"/>
    <w:rsid w:val="000C1238"/>
    <w:rsid w:val="000C16D7"/>
    <w:rsid w:val="000C1C26"/>
    <w:rsid w:val="000C207A"/>
    <w:rsid w:val="000C25BD"/>
    <w:rsid w:val="000C2810"/>
    <w:rsid w:val="000C2A7B"/>
    <w:rsid w:val="000C2C74"/>
    <w:rsid w:val="000C308D"/>
    <w:rsid w:val="000C33BB"/>
    <w:rsid w:val="000C395E"/>
    <w:rsid w:val="000C4240"/>
    <w:rsid w:val="000C45FE"/>
    <w:rsid w:val="000C4ECD"/>
    <w:rsid w:val="000C5630"/>
    <w:rsid w:val="000C577F"/>
    <w:rsid w:val="000C5E7D"/>
    <w:rsid w:val="000C64C0"/>
    <w:rsid w:val="000C6C88"/>
    <w:rsid w:val="000C7443"/>
    <w:rsid w:val="000C7B4C"/>
    <w:rsid w:val="000D05EC"/>
    <w:rsid w:val="000D0C3A"/>
    <w:rsid w:val="000D152D"/>
    <w:rsid w:val="000D1AB9"/>
    <w:rsid w:val="000D1B0E"/>
    <w:rsid w:val="000D1BD9"/>
    <w:rsid w:val="000D2665"/>
    <w:rsid w:val="000D2C0B"/>
    <w:rsid w:val="000D33D7"/>
    <w:rsid w:val="000D33FF"/>
    <w:rsid w:val="000D3518"/>
    <w:rsid w:val="000D390D"/>
    <w:rsid w:val="000D3C7C"/>
    <w:rsid w:val="000D3E39"/>
    <w:rsid w:val="000D4097"/>
    <w:rsid w:val="000D463D"/>
    <w:rsid w:val="000D4871"/>
    <w:rsid w:val="000D4C91"/>
    <w:rsid w:val="000D4ECB"/>
    <w:rsid w:val="000D4F19"/>
    <w:rsid w:val="000D55C0"/>
    <w:rsid w:val="000D58E6"/>
    <w:rsid w:val="000D5EAA"/>
    <w:rsid w:val="000D613F"/>
    <w:rsid w:val="000D6564"/>
    <w:rsid w:val="000D744C"/>
    <w:rsid w:val="000D7762"/>
    <w:rsid w:val="000E0044"/>
    <w:rsid w:val="000E0451"/>
    <w:rsid w:val="000E089C"/>
    <w:rsid w:val="000E0908"/>
    <w:rsid w:val="000E0A02"/>
    <w:rsid w:val="000E0C5D"/>
    <w:rsid w:val="000E173B"/>
    <w:rsid w:val="000E1C10"/>
    <w:rsid w:val="000E20F2"/>
    <w:rsid w:val="000E2524"/>
    <w:rsid w:val="000E2788"/>
    <w:rsid w:val="000E29C8"/>
    <w:rsid w:val="000E2F5A"/>
    <w:rsid w:val="000E30C6"/>
    <w:rsid w:val="000E317B"/>
    <w:rsid w:val="000E31C9"/>
    <w:rsid w:val="000E3537"/>
    <w:rsid w:val="000E3D52"/>
    <w:rsid w:val="000E3D57"/>
    <w:rsid w:val="000E3FC6"/>
    <w:rsid w:val="000E469B"/>
    <w:rsid w:val="000E4B60"/>
    <w:rsid w:val="000E4BEE"/>
    <w:rsid w:val="000E4D07"/>
    <w:rsid w:val="000E4DB5"/>
    <w:rsid w:val="000E4F08"/>
    <w:rsid w:val="000E53DA"/>
    <w:rsid w:val="000E583A"/>
    <w:rsid w:val="000E5CD1"/>
    <w:rsid w:val="000E6036"/>
    <w:rsid w:val="000E636A"/>
    <w:rsid w:val="000E6DFB"/>
    <w:rsid w:val="000E7188"/>
    <w:rsid w:val="000E7ADF"/>
    <w:rsid w:val="000F0F9B"/>
    <w:rsid w:val="000F104F"/>
    <w:rsid w:val="000F14A4"/>
    <w:rsid w:val="000F1A83"/>
    <w:rsid w:val="000F1AE8"/>
    <w:rsid w:val="000F1D39"/>
    <w:rsid w:val="000F1E06"/>
    <w:rsid w:val="000F1F38"/>
    <w:rsid w:val="000F2106"/>
    <w:rsid w:val="000F25D2"/>
    <w:rsid w:val="000F43B9"/>
    <w:rsid w:val="000F4551"/>
    <w:rsid w:val="000F4E7F"/>
    <w:rsid w:val="000F5901"/>
    <w:rsid w:val="000F5D0F"/>
    <w:rsid w:val="000F5DEF"/>
    <w:rsid w:val="000F6186"/>
    <w:rsid w:val="000F6199"/>
    <w:rsid w:val="000F6F20"/>
    <w:rsid w:val="000F7238"/>
    <w:rsid w:val="000F7565"/>
    <w:rsid w:val="000F782D"/>
    <w:rsid w:val="000F78D2"/>
    <w:rsid w:val="000F7B68"/>
    <w:rsid w:val="000F7B96"/>
    <w:rsid w:val="001002A5"/>
    <w:rsid w:val="00100A2F"/>
    <w:rsid w:val="00100BEA"/>
    <w:rsid w:val="001010EF"/>
    <w:rsid w:val="0010113F"/>
    <w:rsid w:val="00101AFD"/>
    <w:rsid w:val="00101B58"/>
    <w:rsid w:val="00101C8E"/>
    <w:rsid w:val="00102192"/>
    <w:rsid w:val="0010229B"/>
    <w:rsid w:val="00102718"/>
    <w:rsid w:val="00102C38"/>
    <w:rsid w:val="0010402E"/>
    <w:rsid w:val="00104247"/>
    <w:rsid w:val="00104620"/>
    <w:rsid w:val="001046A2"/>
    <w:rsid w:val="00104768"/>
    <w:rsid w:val="00104C0D"/>
    <w:rsid w:val="00104D0E"/>
    <w:rsid w:val="00105A7D"/>
    <w:rsid w:val="00107197"/>
    <w:rsid w:val="00107BF2"/>
    <w:rsid w:val="00110916"/>
    <w:rsid w:val="0011099C"/>
    <w:rsid w:val="00110C23"/>
    <w:rsid w:val="0011172D"/>
    <w:rsid w:val="00111964"/>
    <w:rsid w:val="00112302"/>
    <w:rsid w:val="0011277E"/>
    <w:rsid w:val="00112C2B"/>
    <w:rsid w:val="00112C89"/>
    <w:rsid w:val="00113731"/>
    <w:rsid w:val="0011377E"/>
    <w:rsid w:val="0011409D"/>
    <w:rsid w:val="00114D59"/>
    <w:rsid w:val="001154E0"/>
    <w:rsid w:val="00116B77"/>
    <w:rsid w:val="00117A4E"/>
    <w:rsid w:val="0012093B"/>
    <w:rsid w:val="00120BE8"/>
    <w:rsid w:val="00121167"/>
    <w:rsid w:val="001218EA"/>
    <w:rsid w:val="00122904"/>
    <w:rsid w:val="00122EC0"/>
    <w:rsid w:val="00123244"/>
    <w:rsid w:val="00123496"/>
    <w:rsid w:val="0012379D"/>
    <w:rsid w:val="00125526"/>
    <w:rsid w:val="00125DD5"/>
    <w:rsid w:val="001266BA"/>
    <w:rsid w:val="00126987"/>
    <w:rsid w:val="00126B05"/>
    <w:rsid w:val="00126C3E"/>
    <w:rsid w:val="00127079"/>
    <w:rsid w:val="001279FE"/>
    <w:rsid w:val="00127AFD"/>
    <w:rsid w:val="00130E18"/>
    <w:rsid w:val="001315A9"/>
    <w:rsid w:val="00131A50"/>
    <w:rsid w:val="001321B3"/>
    <w:rsid w:val="00132346"/>
    <w:rsid w:val="001323DF"/>
    <w:rsid w:val="00132581"/>
    <w:rsid w:val="00132A1F"/>
    <w:rsid w:val="001330A4"/>
    <w:rsid w:val="001330ED"/>
    <w:rsid w:val="00133157"/>
    <w:rsid w:val="00133A6E"/>
    <w:rsid w:val="00133CA3"/>
    <w:rsid w:val="00134454"/>
    <w:rsid w:val="001348A1"/>
    <w:rsid w:val="00134B67"/>
    <w:rsid w:val="001352CD"/>
    <w:rsid w:val="00135314"/>
    <w:rsid w:val="001357D0"/>
    <w:rsid w:val="00136047"/>
    <w:rsid w:val="001361A8"/>
    <w:rsid w:val="0013654C"/>
    <w:rsid w:val="0013671C"/>
    <w:rsid w:val="00136CAB"/>
    <w:rsid w:val="00136FA8"/>
    <w:rsid w:val="00137314"/>
    <w:rsid w:val="0013766C"/>
    <w:rsid w:val="001377C2"/>
    <w:rsid w:val="00137C6E"/>
    <w:rsid w:val="001404E2"/>
    <w:rsid w:val="001405C3"/>
    <w:rsid w:val="00140803"/>
    <w:rsid w:val="00140E7D"/>
    <w:rsid w:val="00140FDF"/>
    <w:rsid w:val="00141114"/>
    <w:rsid w:val="001413F3"/>
    <w:rsid w:val="001417C1"/>
    <w:rsid w:val="00141A8C"/>
    <w:rsid w:val="001421E2"/>
    <w:rsid w:val="00142807"/>
    <w:rsid w:val="00142923"/>
    <w:rsid w:val="00142C07"/>
    <w:rsid w:val="00142F21"/>
    <w:rsid w:val="0014320C"/>
    <w:rsid w:val="00143300"/>
    <w:rsid w:val="0014343D"/>
    <w:rsid w:val="001436C3"/>
    <w:rsid w:val="0014425D"/>
    <w:rsid w:val="001453DF"/>
    <w:rsid w:val="00145903"/>
    <w:rsid w:val="00145E21"/>
    <w:rsid w:val="001466FE"/>
    <w:rsid w:val="00146F05"/>
    <w:rsid w:val="00146F84"/>
    <w:rsid w:val="00147219"/>
    <w:rsid w:val="00147542"/>
    <w:rsid w:val="00147F8F"/>
    <w:rsid w:val="00147FD3"/>
    <w:rsid w:val="0015013B"/>
    <w:rsid w:val="001508A9"/>
    <w:rsid w:val="00150BA3"/>
    <w:rsid w:val="00150D33"/>
    <w:rsid w:val="00150ED9"/>
    <w:rsid w:val="001510E2"/>
    <w:rsid w:val="001511C9"/>
    <w:rsid w:val="001514E0"/>
    <w:rsid w:val="00151632"/>
    <w:rsid w:val="001522BF"/>
    <w:rsid w:val="00152345"/>
    <w:rsid w:val="00152731"/>
    <w:rsid w:val="001532EA"/>
    <w:rsid w:val="001538F2"/>
    <w:rsid w:val="00153CF0"/>
    <w:rsid w:val="0015403C"/>
    <w:rsid w:val="0015441C"/>
    <w:rsid w:val="00154AB2"/>
    <w:rsid w:val="00154CBB"/>
    <w:rsid w:val="00154D2A"/>
    <w:rsid w:val="00154F10"/>
    <w:rsid w:val="0015538D"/>
    <w:rsid w:val="00156172"/>
    <w:rsid w:val="0015646F"/>
    <w:rsid w:val="001564A2"/>
    <w:rsid w:val="001569F6"/>
    <w:rsid w:val="00156EA4"/>
    <w:rsid w:val="00156EC1"/>
    <w:rsid w:val="001577E2"/>
    <w:rsid w:val="0015796A"/>
    <w:rsid w:val="0016078A"/>
    <w:rsid w:val="00160F87"/>
    <w:rsid w:val="00161D71"/>
    <w:rsid w:val="00162793"/>
    <w:rsid w:val="00162D0E"/>
    <w:rsid w:val="00162EF8"/>
    <w:rsid w:val="001631A0"/>
    <w:rsid w:val="00163668"/>
    <w:rsid w:val="00163A45"/>
    <w:rsid w:val="00163A53"/>
    <w:rsid w:val="00163DDE"/>
    <w:rsid w:val="0016406F"/>
    <w:rsid w:val="001641DC"/>
    <w:rsid w:val="001644D0"/>
    <w:rsid w:val="00164576"/>
    <w:rsid w:val="00164A01"/>
    <w:rsid w:val="00164B89"/>
    <w:rsid w:val="001650FE"/>
    <w:rsid w:val="0016571C"/>
    <w:rsid w:val="00165BDB"/>
    <w:rsid w:val="00166659"/>
    <w:rsid w:val="00167F7D"/>
    <w:rsid w:val="00167FDF"/>
    <w:rsid w:val="00170C25"/>
    <w:rsid w:val="00170D4E"/>
    <w:rsid w:val="00171303"/>
    <w:rsid w:val="0017169D"/>
    <w:rsid w:val="001716FD"/>
    <w:rsid w:val="00171EE9"/>
    <w:rsid w:val="00172053"/>
    <w:rsid w:val="001725D6"/>
    <w:rsid w:val="00172A27"/>
    <w:rsid w:val="001732CF"/>
    <w:rsid w:val="00173748"/>
    <w:rsid w:val="00173A32"/>
    <w:rsid w:val="00173AF4"/>
    <w:rsid w:val="001740D8"/>
    <w:rsid w:val="00174711"/>
    <w:rsid w:val="00174885"/>
    <w:rsid w:val="00175977"/>
    <w:rsid w:val="00175D67"/>
    <w:rsid w:val="00175F47"/>
    <w:rsid w:val="0017626A"/>
    <w:rsid w:val="00176815"/>
    <w:rsid w:val="00176CC8"/>
    <w:rsid w:val="00176D05"/>
    <w:rsid w:val="00177475"/>
    <w:rsid w:val="0017785F"/>
    <w:rsid w:val="001801D5"/>
    <w:rsid w:val="0018071A"/>
    <w:rsid w:val="00180C8E"/>
    <w:rsid w:val="001813B0"/>
    <w:rsid w:val="00181632"/>
    <w:rsid w:val="00181834"/>
    <w:rsid w:val="00181961"/>
    <w:rsid w:val="00181BA1"/>
    <w:rsid w:val="00182231"/>
    <w:rsid w:val="001829F9"/>
    <w:rsid w:val="00183A86"/>
    <w:rsid w:val="00183CD7"/>
    <w:rsid w:val="0018448C"/>
    <w:rsid w:val="00184663"/>
    <w:rsid w:val="0018482D"/>
    <w:rsid w:val="0018515B"/>
    <w:rsid w:val="0018522E"/>
    <w:rsid w:val="001857FB"/>
    <w:rsid w:val="00185A4E"/>
    <w:rsid w:val="0018607D"/>
    <w:rsid w:val="00186631"/>
    <w:rsid w:val="00186A4B"/>
    <w:rsid w:val="00186B41"/>
    <w:rsid w:val="00187946"/>
    <w:rsid w:val="001879E9"/>
    <w:rsid w:val="00187B3C"/>
    <w:rsid w:val="001900EF"/>
    <w:rsid w:val="001901E9"/>
    <w:rsid w:val="0019053A"/>
    <w:rsid w:val="00191956"/>
    <w:rsid w:val="00191B0E"/>
    <w:rsid w:val="001923B8"/>
    <w:rsid w:val="001923FD"/>
    <w:rsid w:val="0019290C"/>
    <w:rsid w:val="00192C67"/>
    <w:rsid w:val="00192CDE"/>
    <w:rsid w:val="00193139"/>
    <w:rsid w:val="001933D2"/>
    <w:rsid w:val="00193EFC"/>
    <w:rsid w:val="00194BE0"/>
    <w:rsid w:val="00195BB8"/>
    <w:rsid w:val="00195C98"/>
    <w:rsid w:val="001960E4"/>
    <w:rsid w:val="00196639"/>
    <w:rsid w:val="0019676C"/>
    <w:rsid w:val="00196A2A"/>
    <w:rsid w:val="00196AC2"/>
    <w:rsid w:val="00196FD3"/>
    <w:rsid w:val="00197C98"/>
    <w:rsid w:val="001A03D3"/>
    <w:rsid w:val="001A047C"/>
    <w:rsid w:val="001A04D5"/>
    <w:rsid w:val="001A0BB8"/>
    <w:rsid w:val="001A1225"/>
    <w:rsid w:val="001A12EA"/>
    <w:rsid w:val="001A141D"/>
    <w:rsid w:val="001A17CB"/>
    <w:rsid w:val="001A1915"/>
    <w:rsid w:val="001A1CB4"/>
    <w:rsid w:val="001A214A"/>
    <w:rsid w:val="001A235C"/>
    <w:rsid w:val="001A23D2"/>
    <w:rsid w:val="001A31FB"/>
    <w:rsid w:val="001A35A0"/>
    <w:rsid w:val="001A3B9F"/>
    <w:rsid w:val="001A4264"/>
    <w:rsid w:val="001A4934"/>
    <w:rsid w:val="001A4D64"/>
    <w:rsid w:val="001A4F78"/>
    <w:rsid w:val="001A5541"/>
    <w:rsid w:val="001A57A5"/>
    <w:rsid w:val="001A5BA3"/>
    <w:rsid w:val="001A5DF4"/>
    <w:rsid w:val="001A69B1"/>
    <w:rsid w:val="001A6B63"/>
    <w:rsid w:val="001A73AF"/>
    <w:rsid w:val="001A76E7"/>
    <w:rsid w:val="001A782B"/>
    <w:rsid w:val="001A78DB"/>
    <w:rsid w:val="001B011F"/>
    <w:rsid w:val="001B019B"/>
    <w:rsid w:val="001B020B"/>
    <w:rsid w:val="001B088B"/>
    <w:rsid w:val="001B08A8"/>
    <w:rsid w:val="001B0B5F"/>
    <w:rsid w:val="001B0E86"/>
    <w:rsid w:val="001B0FFD"/>
    <w:rsid w:val="001B150D"/>
    <w:rsid w:val="001B156C"/>
    <w:rsid w:val="001B1972"/>
    <w:rsid w:val="001B2CE3"/>
    <w:rsid w:val="001B32C8"/>
    <w:rsid w:val="001B345C"/>
    <w:rsid w:val="001B3CDD"/>
    <w:rsid w:val="001B3D92"/>
    <w:rsid w:val="001B3DE0"/>
    <w:rsid w:val="001B4179"/>
    <w:rsid w:val="001B4573"/>
    <w:rsid w:val="001B4C15"/>
    <w:rsid w:val="001B5261"/>
    <w:rsid w:val="001B5313"/>
    <w:rsid w:val="001B5889"/>
    <w:rsid w:val="001B5ADA"/>
    <w:rsid w:val="001B5DB5"/>
    <w:rsid w:val="001B6EB3"/>
    <w:rsid w:val="001B6F5C"/>
    <w:rsid w:val="001B7391"/>
    <w:rsid w:val="001B73F0"/>
    <w:rsid w:val="001B75C9"/>
    <w:rsid w:val="001B778F"/>
    <w:rsid w:val="001B79B2"/>
    <w:rsid w:val="001C0316"/>
    <w:rsid w:val="001C0668"/>
    <w:rsid w:val="001C0776"/>
    <w:rsid w:val="001C127E"/>
    <w:rsid w:val="001C14CC"/>
    <w:rsid w:val="001C172B"/>
    <w:rsid w:val="001C22A8"/>
    <w:rsid w:val="001C308C"/>
    <w:rsid w:val="001C3942"/>
    <w:rsid w:val="001C3A1C"/>
    <w:rsid w:val="001C3E43"/>
    <w:rsid w:val="001C41C5"/>
    <w:rsid w:val="001C4275"/>
    <w:rsid w:val="001C469A"/>
    <w:rsid w:val="001C47C4"/>
    <w:rsid w:val="001C4F71"/>
    <w:rsid w:val="001C5483"/>
    <w:rsid w:val="001C5739"/>
    <w:rsid w:val="001C6674"/>
    <w:rsid w:val="001C6B2B"/>
    <w:rsid w:val="001C6BB2"/>
    <w:rsid w:val="001C6C9C"/>
    <w:rsid w:val="001C6EE0"/>
    <w:rsid w:val="001C799F"/>
    <w:rsid w:val="001C7A00"/>
    <w:rsid w:val="001C7B17"/>
    <w:rsid w:val="001C7E03"/>
    <w:rsid w:val="001D00E8"/>
    <w:rsid w:val="001D041A"/>
    <w:rsid w:val="001D0969"/>
    <w:rsid w:val="001D0AE5"/>
    <w:rsid w:val="001D0D3A"/>
    <w:rsid w:val="001D0D60"/>
    <w:rsid w:val="001D0E1A"/>
    <w:rsid w:val="001D1182"/>
    <w:rsid w:val="001D1238"/>
    <w:rsid w:val="001D171D"/>
    <w:rsid w:val="001D19B8"/>
    <w:rsid w:val="001D1DF0"/>
    <w:rsid w:val="001D1EE9"/>
    <w:rsid w:val="001D2169"/>
    <w:rsid w:val="001D29E3"/>
    <w:rsid w:val="001D2D89"/>
    <w:rsid w:val="001D378B"/>
    <w:rsid w:val="001D3ED5"/>
    <w:rsid w:val="001D55C7"/>
    <w:rsid w:val="001D5ECA"/>
    <w:rsid w:val="001D691F"/>
    <w:rsid w:val="001D69D3"/>
    <w:rsid w:val="001D6F11"/>
    <w:rsid w:val="001D6FDE"/>
    <w:rsid w:val="001D71E9"/>
    <w:rsid w:val="001D73B2"/>
    <w:rsid w:val="001D747E"/>
    <w:rsid w:val="001D7B87"/>
    <w:rsid w:val="001D7BF0"/>
    <w:rsid w:val="001E072A"/>
    <w:rsid w:val="001E1705"/>
    <w:rsid w:val="001E1A77"/>
    <w:rsid w:val="001E25AB"/>
    <w:rsid w:val="001E2890"/>
    <w:rsid w:val="001E308B"/>
    <w:rsid w:val="001E315B"/>
    <w:rsid w:val="001E35C2"/>
    <w:rsid w:val="001E38F2"/>
    <w:rsid w:val="001E3D04"/>
    <w:rsid w:val="001E5142"/>
    <w:rsid w:val="001E53EB"/>
    <w:rsid w:val="001E58DF"/>
    <w:rsid w:val="001E5A85"/>
    <w:rsid w:val="001E5EE4"/>
    <w:rsid w:val="001E6346"/>
    <w:rsid w:val="001E659B"/>
    <w:rsid w:val="001E68AA"/>
    <w:rsid w:val="001E6C50"/>
    <w:rsid w:val="001E6DE0"/>
    <w:rsid w:val="001E71CB"/>
    <w:rsid w:val="001E7272"/>
    <w:rsid w:val="001E7275"/>
    <w:rsid w:val="001E7430"/>
    <w:rsid w:val="001F0092"/>
    <w:rsid w:val="001F099E"/>
    <w:rsid w:val="001F0A57"/>
    <w:rsid w:val="001F1E75"/>
    <w:rsid w:val="001F20D6"/>
    <w:rsid w:val="001F261D"/>
    <w:rsid w:val="001F28BB"/>
    <w:rsid w:val="001F28F7"/>
    <w:rsid w:val="001F2B0B"/>
    <w:rsid w:val="001F2C74"/>
    <w:rsid w:val="001F30B5"/>
    <w:rsid w:val="001F31EA"/>
    <w:rsid w:val="001F36AC"/>
    <w:rsid w:val="001F384F"/>
    <w:rsid w:val="001F3D5D"/>
    <w:rsid w:val="001F41E5"/>
    <w:rsid w:val="001F41F4"/>
    <w:rsid w:val="001F4441"/>
    <w:rsid w:val="001F47D1"/>
    <w:rsid w:val="001F4FE3"/>
    <w:rsid w:val="001F5536"/>
    <w:rsid w:val="001F5A2B"/>
    <w:rsid w:val="001F5EB4"/>
    <w:rsid w:val="001F61CE"/>
    <w:rsid w:val="001F647E"/>
    <w:rsid w:val="001F651D"/>
    <w:rsid w:val="001F65A2"/>
    <w:rsid w:val="001F7499"/>
    <w:rsid w:val="001F7C71"/>
    <w:rsid w:val="001F7ED6"/>
    <w:rsid w:val="002008F3"/>
    <w:rsid w:val="00200E3F"/>
    <w:rsid w:val="0020129B"/>
    <w:rsid w:val="0020130A"/>
    <w:rsid w:val="002016F0"/>
    <w:rsid w:val="00201915"/>
    <w:rsid w:val="00202307"/>
    <w:rsid w:val="002023B1"/>
    <w:rsid w:val="00202570"/>
    <w:rsid w:val="00202D92"/>
    <w:rsid w:val="00202FF3"/>
    <w:rsid w:val="00203068"/>
    <w:rsid w:val="0020349A"/>
    <w:rsid w:val="0020406D"/>
    <w:rsid w:val="0020425D"/>
    <w:rsid w:val="002043E9"/>
    <w:rsid w:val="00204AD0"/>
    <w:rsid w:val="00204B02"/>
    <w:rsid w:val="00204C5F"/>
    <w:rsid w:val="00204D61"/>
    <w:rsid w:val="00204EE8"/>
    <w:rsid w:val="002058C4"/>
    <w:rsid w:val="00205A12"/>
    <w:rsid w:val="00205C4F"/>
    <w:rsid w:val="00205E90"/>
    <w:rsid w:val="00205EB0"/>
    <w:rsid w:val="00205F92"/>
    <w:rsid w:val="002066D4"/>
    <w:rsid w:val="00207908"/>
    <w:rsid w:val="00207C88"/>
    <w:rsid w:val="00210674"/>
    <w:rsid w:val="002107FA"/>
    <w:rsid w:val="00210DE9"/>
    <w:rsid w:val="00211D9F"/>
    <w:rsid w:val="002123C7"/>
    <w:rsid w:val="002124EB"/>
    <w:rsid w:val="00212545"/>
    <w:rsid w:val="00212783"/>
    <w:rsid w:val="002129CC"/>
    <w:rsid w:val="00212ABB"/>
    <w:rsid w:val="0021300C"/>
    <w:rsid w:val="0021374B"/>
    <w:rsid w:val="00213862"/>
    <w:rsid w:val="00213B96"/>
    <w:rsid w:val="0021456B"/>
    <w:rsid w:val="00214697"/>
    <w:rsid w:val="002146EC"/>
    <w:rsid w:val="00214C60"/>
    <w:rsid w:val="00215259"/>
    <w:rsid w:val="0021538B"/>
    <w:rsid w:val="00215554"/>
    <w:rsid w:val="0021564B"/>
    <w:rsid w:val="002156BF"/>
    <w:rsid w:val="00215832"/>
    <w:rsid w:val="002159F8"/>
    <w:rsid w:val="00215A32"/>
    <w:rsid w:val="002162FD"/>
    <w:rsid w:val="00216D40"/>
    <w:rsid w:val="002176AD"/>
    <w:rsid w:val="00217F6D"/>
    <w:rsid w:val="002201BE"/>
    <w:rsid w:val="0022028A"/>
    <w:rsid w:val="00220667"/>
    <w:rsid w:val="002206EF"/>
    <w:rsid w:val="0022090B"/>
    <w:rsid w:val="00220F1A"/>
    <w:rsid w:val="002215D5"/>
    <w:rsid w:val="00221997"/>
    <w:rsid w:val="00221A81"/>
    <w:rsid w:val="00221B5C"/>
    <w:rsid w:val="00221B7B"/>
    <w:rsid w:val="002221B8"/>
    <w:rsid w:val="0022238A"/>
    <w:rsid w:val="002224E9"/>
    <w:rsid w:val="002238D1"/>
    <w:rsid w:val="00223E02"/>
    <w:rsid w:val="00223F67"/>
    <w:rsid w:val="002247A3"/>
    <w:rsid w:val="00225623"/>
    <w:rsid w:val="00225AF6"/>
    <w:rsid w:val="00225BD5"/>
    <w:rsid w:val="00226A9A"/>
    <w:rsid w:val="00226C2A"/>
    <w:rsid w:val="00226E3F"/>
    <w:rsid w:val="00226E63"/>
    <w:rsid w:val="002278BF"/>
    <w:rsid w:val="002279DB"/>
    <w:rsid w:val="00227B01"/>
    <w:rsid w:val="00227E7E"/>
    <w:rsid w:val="00227EE4"/>
    <w:rsid w:val="002303AF"/>
    <w:rsid w:val="00230811"/>
    <w:rsid w:val="00230B5E"/>
    <w:rsid w:val="00231FE0"/>
    <w:rsid w:val="0023213B"/>
    <w:rsid w:val="00232CC6"/>
    <w:rsid w:val="00232EC6"/>
    <w:rsid w:val="002331E4"/>
    <w:rsid w:val="00233638"/>
    <w:rsid w:val="0023420A"/>
    <w:rsid w:val="00234EDC"/>
    <w:rsid w:val="0023590E"/>
    <w:rsid w:val="00235E20"/>
    <w:rsid w:val="00236533"/>
    <w:rsid w:val="00236D94"/>
    <w:rsid w:val="002373FD"/>
    <w:rsid w:val="00237414"/>
    <w:rsid w:val="00237870"/>
    <w:rsid w:val="00240AEF"/>
    <w:rsid w:val="00240B53"/>
    <w:rsid w:val="00240C3D"/>
    <w:rsid w:val="002414DB"/>
    <w:rsid w:val="00241BBD"/>
    <w:rsid w:val="00242322"/>
    <w:rsid w:val="002424E5"/>
    <w:rsid w:val="0024289A"/>
    <w:rsid w:val="002429EF"/>
    <w:rsid w:val="00242EBC"/>
    <w:rsid w:val="00243823"/>
    <w:rsid w:val="00243C86"/>
    <w:rsid w:val="00243F04"/>
    <w:rsid w:val="00244070"/>
    <w:rsid w:val="002444AE"/>
    <w:rsid w:val="00245210"/>
    <w:rsid w:val="002463D0"/>
    <w:rsid w:val="002464ED"/>
    <w:rsid w:val="00246617"/>
    <w:rsid w:val="00246869"/>
    <w:rsid w:val="00246944"/>
    <w:rsid w:val="00246AB3"/>
    <w:rsid w:val="00246E70"/>
    <w:rsid w:val="00247A5F"/>
    <w:rsid w:val="00247DF0"/>
    <w:rsid w:val="00250170"/>
    <w:rsid w:val="00250D7A"/>
    <w:rsid w:val="0025210B"/>
    <w:rsid w:val="002525BC"/>
    <w:rsid w:val="002529ED"/>
    <w:rsid w:val="00252B41"/>
    <w:rsid w:val="00252E84"/>
    <w:rsid w:val="002531E4"/>
    <w:rsid w:val="00253391"/>
    <w:rsid w:val="002537F5"/>
    <w:rsid w:val="0025380B"/>
    <w:rsid w:val="00254828"/>
    <w:rsid w:val="0025491D"/>
    <w:rsid w:val="00254B13"/>
    <w:rsid w:val="00256313"/>
    <w:rsid w:val="0025684A"/>
    <w:rsid w:val="00256B05"/>
    <w:rsid w:val="00257055"/>
    <w:rsid w:val="002575FB"/>
    <w:rsid w:val="00257EF7"/>
    <w:rsid w:val="00257F6E"/>
    <w:rsid w:val="00260094"/>
    <w:rsid w:val="00260A31"/>
    <w:rsid w:val="002614C2"/>
    <w:rsid w:val="002616F4"/>
    <w:rsid w:val="00261DCD"/>
    <w:rsid w:val="00261EE8"/>
    <w:rsid w:val="00262047"/>
    <w:rsid w:val="002621F0"/>
    <w:rsid w:val="0026269E"/>
    <w:rsid w:val="00262F79"/>
    <w:rsid w:val="00263147"/>
    <w:rsid w:val="0026315D"/>
    <w:rsid w:val="00263355"/>
    <w:rsid w:val="00264083"/>
    <w:rsid w:val="0026469B"/>
    <w:rsid w:val="002648BB"/>
    <w:rsid w:val="00264C6B"/>
    <w:rsid w:val="00264CAF"/>
    <w:rsid w:val="00264F40"/>
    <w:rsid w:val="002650B2"/>
    <w:rsid w:val="00265A6A"/>
    <w:rsid w:val="002666AC"/>
    <w:rsid w:val="002667F2"/>
    <w:rsid w:val="00266C25"/>
    <w:rsid w:val="00266EDE"/>
    <w:rsid w:val="002673A0"/>
    <w:rsid w:val="002673B2"/>
    <w:rsid w:val="0026780C"/>
    <w:rsid w:val="00267A0F"/>
    <w:rsid w:val="00267B49"/>
    <w:rsid w:val="00267F4C"/>
    <w:rsid w:val="002700FC"/>
    <w:rsid w:val="00270564"/>
    <w:rsid w:val="00270641"/>
    <w:rsid w:val="002708C7"/>
    <w:rsid w:val="00270AE7"/>
    <w:rsid w:val="00270C18"/>
    <w:rsid w:val="002714A1"/>
    <w:rsid w:val="002715C0"/>
    <w:rsid w:val="00271D1E"/>
    <w:rsid w:val="00271ED4"/>
    <w:rsid w:val="002724A1"/>
    <w:rsid w:val="0027256C"/>
    <w:rsid w:val="00272BA5"/>
    <w:rsid w:val="00272F3A"/>
    <w:rsid w:val="00273148"/>
    <w:rsid w:val="00273507"/>
    <w:rsid w:val="00273C4B"/>
    <w:rsid w:val="00273E78"/>
    <w:rsid w:val="00274788"/>
    <w:rsid w:val="00274A10"/>
    <w:rsid w:val="00274B95"/>
    <w:rsid w:val="00274D70"/>
    <w:rsid w:val="00275241"/>
    <w:rsid w:val="00276045"/>
    <w:rsid w:val="00276392"/>
    <w:rsid w:val="00276D62"/>
    <w:rsid w:val="00276DFF"/>
    <w:rsid w:val="00277270"/>
    <w:rsid w:val="002801D5"/>
    <w:rsid w:val="00281283"/>
    <w:rsid w:val="0028129C"/>
    <w:rsid w:val="00281355"/>
    <w:rsid w:val="00281756"/>
    <w:rsid w:val="0028264D"/>
    <w:rsid w:val="00282999"/>
    <w:rsid w:val="00282AF5"/>
    <w:rsid w:val="0028387F"/>
    <w:rsid w:val="002845C3"/>
    <w:rsid w:val="00284B9F"/>
    <w:rsid w:val="00285549"/>
    <w:rsid w:val="00285621"/>
    <w:rsid w:val="00285C7A"/>
    <w:rsid w:val="002860A4"/>
    <w:rsid w:val="002872DF"/>
    <w:rsid w:val="002876BF"/>
    <w:rsid w:val="00290010"/>
    <w:rsid w:val="002907FF"/>
    <w:rsid w:val="00290B6A"/>
    <w:rsid w:val="0029112B"/>
    <w:rsid w:val="00291352"/>
    <w:rsid w:val="00291434"/>
    <w:rsid w:val="00292016"/>
    <w:rsid w:val="002922DD"/>
    <w:rsid w:val="002926A8"/>
    <w:rsid w:val="002939E1"/>
    <w:rsid w:val="00293B7C"/>
    <w:rsid w:val="00293C1A"/>
    <w:rsid w:val="00293C3A"/>
    <w:rsid w:val="00293F3D"/>
    <w:rsid w:val="002949A6"/>
    <w:rsid w:val="00294DE8"/>
    <w:rsid w:val="00294FF0"/>
    <w:rsid w:val="002952AD"/>
    <w:rsid w:val="002953ED"/>
    <w:rsid w:val="00295920"/>
    <w:rsid w:val="00296126"/>
    <w:rsid w:val="002965EA"/>
    <w:rsid w:val="00296C13"/>
    <w:rsid w:val="00297100"/>
    <w:rsid w:val="0029739A"/>
    <w:rsid w:val="00297525"/>
    <w:rsid w:val="00297B04"/>
    <w:rsid w:val="00297F72"/>
    <w:rsid w:val="002A025C"/>
    <w:rsid w:val="002A19BE"/>
    <w:rsid w:val="002A1A1B"/>
    <w:rsid w:val="002A1A24"/>
    <w:rsid w:val="002A21F8"/>
    <w:rsid w:val="002A2751"/>
    <w:rsid w:val="002A2FAC"/>
    <w:rsid w:val="002A300C"/>
    <w:rsid w:val="002A479E"/>
    <w:rsid w:val="002A4887"/>
    <w:rsid w:val="002A4993"/>
    <w:rsid w:val="002A51ED"/>
    <w:rsid w:val="002A5D90"/>
    <w:rsid w:val="002A5E9E"/>
    <w:rsid w:val="002A6473"/>
    <w:rsid w:val="002A66EA"/>
    <w:rsid w:val="002A6CC1"/>
    <w:rsid w:val="002A7514"/>
    <w:rsid w:val="002A7E40"/>
    <w:rsid w:val="002A7F0D"/>
    <w:rsid w:val="002B033B"/>
    <w:rsid w:val="002B0BF5"/>
    <w:rsid w:val="002B0F5A"/>
    <w:rsid w:val="002B0FCB"/>
    <w:rsid w:val="002B1695"/>
    <w:rsid w:val="002B1CE5"/>
    <w:rsid w:val="002B23D5"/>
    <w:rsid w:val="002B2441"/>
    <w:rsid w:val="002B2DC6"/>
    <w:rsid w:val="002B31F7"/>
    <w:rsid w:val="002B33E9"/>
    <w:rsid w:val="002B355E"/>
    <w:rsid w:val="002B393C"/>
    <w:rsid w:val="002B433C"/>
    <w:rsid w:val="002B437A"/>
    <w:rsid w:val="002B490E"/>
    <w:rsid w:val="002B4E5E"/>
    <w:rsid w:val="002B51D8"/>
    <w:rsid w:val="002B547E"/>
    <w:rsid w:val="002B59DB"/>
    <w:rsid w:val="002B5A01"/>
    <w:rsid w:val="002B5A58"/>
    <w:rsid w:val="002B7178"/>
    <w:rsid w:val="002B725C"/>
    <w:rsid w:val="002B7AB0"/>
    <w:rsid w:val="002B7BA9"/>
    <w:rsid w:val="002B7C26"/>
    <w:rsid w:val="002C0636"/>
    <w:rsid w:val="002C07CA"/>
    <w:rsid w:val="002C0941"/>
    <w:rsid w:val="002C0990"/>
    <w:rsid w:val="002C102E"/>
    <w:rsid w:val="002C10ED"/>
    <w:rsid w:val="002C1138"/>
    <w:rsid w:val="002C1C6B"/>
    <w:rsid w:val="002C26CB"/>
    <w:rsid w:val="002C278B"/>
    <w:rsid w:val="002C329C"/>
    <w:rsid w:val="002C3B54"/>
    <w:rsid w:val="002C4490"/>
    <w:rsid w:val="002C47EF"/>
    <w:rsid w:val="002C50D3"/>
    <w:rsid w:val="002C54A0"/>
    <w:rsid w:val="002C58BF"/>
    <w:rsid w:val="002C6077"/>
    <w:rsid w:val="002C6903"/>
    <w:rsid w:val="002C6B21"/>
    <w:rsid w:val="002C705C"/>
    <w:rsid w:val="002C72DE"/>
    <w:rsid w:val="002C7B61"/>
    <w:rsid w:val="002C7CBE"/>
    <w:rsid w:val="002C7FB4"/>
    <w:rsid w:val="002C7FE3"/>
    <w:rsid w:val="002D0530"/>
    <w:rsid w:val="002D0AA0"/>
    <w:rsid w:val="002D0AD3"/>
    <w:rsid w:val="002D0C01"/>
    <w:rsid w:val="002D0E57"/>
    <w:rsid w:val="002D2261"/>
    <w:rsid w:val="002D230A"/>
    <w:rsid w:val="002D25FB"/>
    <w:rsid w:val="002D2B08"/>
    <w:rsid w:val="002D357A"/>
    <w:rsid w:val="002D3B88"/>
    <w:rsid w:val="002D3E01"/>
    <w:rsid w:val="002D40D4"/>
    <w:rsid w:val="002D41EC"/>
    <w:rsid w:val="002D4B0B"/>
    <w:rsid w:val="002D4D39"/>
    <w:rsid w:val="002D513A"/>
    <w:rsid w:val="002D5200"/>
    <w:rsid w:val="002D5889"/>
    <w:rsid w:val="002D5957"/>
    <w:rsid w:val="002D5F32"/>
    <w:rsid w:val="002D6230"/>
    <w:rsid w:val="002D6327"/>
    <w:rsid w:val="002D6A05"/>
    <w:rsid w:val="002D6AD8"/>
    <w:rsid w:val="002D6E3A"/>
    <w:rsid w:val="002D7103"/>
    <w:rsid w:val="002D753D"/>
    <w:rsid w:val="002D7DED"/>
    <w:rsid w:val="002D7EB3"/>
    <w:rsid w:val="002D7F12"/>
    <w:rsid w:val="002E01FA"/>
    <w:rsid w:val="002E0C00"/>
    <w:rsid w:val="002E0D1B"/>
    <w:rsid w:val="002E13F9"/>
    <w:rsid w:val="002E2217"/>
    <w:rsid w:val="002E28EB"/>
    <w:rsid w:val="002E290F"/>
    <w:rsid w:val="002E29A7"/>
    <w:rsid w:val="002E3A3F"/>
    <w:rsid w:val="002E3A6C"/>
    <w:rsid w:val="002E4209"/>
    <w:rsid w:val="002E4343"/>
    <w:rsid w:val="002E4DA4"/>
    <w:rsid w:val="002E4FDA"/>
    <w:rsid w:val="002E547F"/>
    <w:rsid w:val="002E5CF5"/>
    <w:rsid w:val="002E62E1"/>
    <w:rsid w:val="002E7758"/>
    <w:rsid w:val="002E7BE9"/>
    <w:rsid w:val="002E7BF2"/>
    <w:rsid w:val="002E7EA2"/>
    <w:rsid w:val="002F049D"/>
    <w:rsid w:val="002F0978"/>
    <w:rsid w:val="002F0A42"/>
    <w:rsid w:val="002F0DE1"/>
    <w:rsid w:val="002F125B"/>
    <w:rsid w:val="002F17BA"/>
    <w:rsid w:val="002F185A"/>
    <w:rsid w:val="002F18F9"/>
    <w:rsid w:val="002F1D89"/>
    <w:rsid w:val="002F2112"/>
    <w:rsid w:val="002F2C0F"/>
    <w:rsid w:val="002F2C11"/>
    <w:rsid w:val="002F37CB"/>
    <w:rsid w:val="002F3DB9"/>
    <w:rsid w:val="002F48D4"/>
    <w:rsid w:val="002F4965"/>
    <w:rsid w:val="002F4FB6"/>
    <w:rsid w:val="002F54C9"/>
    <w:rsid w:val="002F566B"/>
    <w:rsid w:val="002F583C"/>
    <w:rsid w:val="002F596A"/>
    <w:rsid w:val="002F5FEC"/>
    <w:rsid w:val="002F71FD"/>
    <w:rsid w:val="002F7255"/>
    <w:rsid w:val="002F7782"/>
    <w:rsid w:val="002F7C26"/>
    <w:rsid w:val="002F7D3A"/>
    <w:rsid w:val="002F7D57"/>
    <w:rsid w:val="00300222"/>
    <w:rsid w:val="00300574"/>
    <w:rsid w:val="003008CC"/>
    <w:rsid w:val="00300AE4"/>
    <w:rsid w:val="0030181B"/>
    <w:rsid w:val="00301A6A"/>
    <w:rsid w:val="00301D6D"/>
    <w:rsid w:val="00301F5D"/>
    <w:rsid w:val="003024D4"/>
    <w:rsid w:val="003029C5"/>
    <w:rsid w:val="00302B54"/>
    <w:rsid w:val="00302D12"/>
    <w:rsid w:val="00302E8F"/>
    <w:rsid w:val="00304139"/>
    <w:rsid w:val="003041A3"/>
    <w:rsid w:val="0030430D"/>
    <w:rsid w:val="003045A7"/>
    <w:rsid w:val="003045F4"/>
    <w:rsid w:val="00304EFD"/>
    <w:rsid w:val="0030574F"/>
    <w:rsid w:val="00306202"/>
    <w:rsid w:val="003067AB"/>
    <w:rsid w:val="00307052"/>
    <w:rsid w:val="0031084C"/>
    <w:rsid w:val="00310A2A"/>
    <w:rsid w:val="003112E2"/>
    <w:rsid w:val="00311971"/>
    <w:rsid w:val="0031235D"/>
    <w:rsid w:val="00312446"/>
    <w:rsid w:val="003125B6"/>
    <w:rsid w:val="00312853"/>
    <w:rsid w:val="00312993"/>
    <w:rsid w:val="00312D5E"/>
    <w:rsid w:val="0031349B"/>
    <w:rsid w:val="0031374E"/>
    <w:rsid w:val="00313A56"/>
    <w:rsid w:val="003141D5"/>
    <w:rsid w:val="0031454E"/>
    <w:rsid w:val="003147A0"/>
    <w:rsid w:val="003148FD"/>
    <w:rsid w:val="0031495A"/>
    <w:rsid w:val="0031501D"/>
    <w:rsid w:val="00315A61"/>
    <w:rsid w:val="00315BE0"/>
    <w:rsid w:val="00315C16"/>
    <w:rsid w:val="00315D82"/>
    <w:rsid w:val="00315DAC"/>
    <w:rsid w:val="00316666"/>
    <w:rsid w:val="003167E8"/>
    <w:rsid w:val="0031716E"/>
    <w:rsid w:val="00317B53"/>
    <w:rsid w:val="00320255"/>
    <w:rsid w:val="0032146D"/>
    <w:rsid w:val="00321492"/>
    <w:rsid w:val="003218F9"/>
    <w:rsid w:val="0032221A"/>
    <w:rsid w:val="00322EB9"/>
    <w:rsid w:val="0032304C"/>
    <w:rsid w:val="00323173"/>
    <w:rsid w:val="003237A4"/>
    <w:rsid w:val="00323910"/>
    <w:rsid w:val="00323BE3"/>
    <w:rsid w:val="00323E61"/>
    <w:rsid w:val="00324109"/>
    <w:rsid w:val="003249EE"/>
    <w:rsid w:val="00324A6C"/>
    <w:rsid w:val="00324AEF"/>
    <w:rsid w:val="00325130"/>
    <w:rsid w:val="003258CA"/>
    <w:rsid w:val="003259E2"/>
    <w:rsid w:val="00325BAE"/>
    <w:rsid w:val="00326388"/>
    <w:rsid w:val="00327922"/>
    <w:rsid w:val="00327E5C"/>
    <w:rsid w:val="003302F4"/>
    <w:rsid w:val="003307C3"/>
    <w:rsid w:val="003308CE"/>
    <w:rsid w:val="00331502"/>
    <w:rsid w:val="00331631"/>
    <w:rsid w:val="00331E0D"/>
    <w:rsid w:val="0033254C"/>
    <w:rsid w:val="00332A7B"/>
    <w:rsid w:val="003336BD"/>
    <w:rsid w:val="003336CC"/>
    <w:rsid w:val="00333A42"/>
    <w:rsid w:val="00334BC5"/>
    <w:rsid w:val="00334CE2"/>
    <w:rsid w:val="00334EC0"/>
    <w:rsid w:val="003352A4"/>
    <w:rsid w:val="0033533A"/>
    <w:rsid w:val="00335B43"/>
    <w:rsid w:val="00336BDC"/>
    <w:rsid w:val="00336D7F"/>
    <w:rsid w:val="00336F5F"/>
    <w:rsid w:val="00337895"/>
    <w:rsid w:val="00337969"/>
    <w:rsid w:val="00337BC5"/>
    <w:rsid w:val="00337E84"/>
    <w:rsid w:val="00337EC1"/>
    <w:rsid w:val="00337FBE"/>
    <w:rsid w:val="00340061"/>
    <w:rsid w:val="003404B1"/>
    <w:rsid w:val="003406E5"/>
    <w:rsid w:val="00341395"/>
    <w:rsid w:val="003413F0"/>
    <w:rsid w:val="003417F7"/>
    <w:rsid w:val="00341FD9"/>
    <w:rsid w:val="003427FB"/>
    <w:rsid w:val="0034292F"/>
    <w:rsid w:val="00342EB6"/>
    <w:rsid w:val="003430B2"/>
    <w:rsid w:val="003434C4"/>
    <w:rsid w:val="003439F9"/>
    <w:rsid w:val="00343A07"/>
    <w:rsid w:val="003445FC"/>
    <w:rsid w:val="00344655"/>
    <w:rsid w:val="00344841"/>
    <w:rsid w:val="0034496C"/>
    <w:rsid w:val="00344ACE"/>
    <w:rsid w:val="00345447"/>
    <w:rsid w:val="00345DFB"/>
    <w:rsid w:val="003460E5"/>
    <w:rsid w:val="0034670C"/>
    <w:rsid w:val="003467D2"/>
    <w:rsid w:val="0034691F"/>
    <w:rsid w:val="003469D0"/>
    <w:rsid w:val="003474A9"/>
    <w:rsid w:val="0034753F"/>
    <w:rsid w:val="00347D74"/>
    <w:rsid w:val="00350132"/>
    <w:rsid w:val="00350811"/>
    <w:rsid w:val="003508DC"/>
    <w:rsid w:val="00350A7C"/>
    <w:rsid w:val="00350C2C"/>
    <w:rsid w:val="00350DF0"/>
    <w:rsid w:val="00350EC4"/>
    <w:rsid w:val="00351AEE"/>
    <w:rsid w:val="00351AF4"/>
    <w:rsid w:val="00351FCF"/>
    <w:rsid w:val="0035257A"/>
    <w:rsid w:val="003525D7"/>
    <w:rsid w:val="003529E4"/>
    <w:rsid w:val="00352A3F"/>
    <w:rsid w:val="00352B86"/>
    <w:rsid w:val="00352B8D"/>
    <w:rsid w:val="00352E72"/>
    <w:rsid w:val="0035319D"/>
    <w:rsid w:val="0035341A"/>
    <w:rsid w:val="0035419A"/>
    <w:rsid w:val="00354B90"/>
    <w:rsid w:val="00354D69"/>
    <w:rsid w:val="00354D9C"/>
    <w:rsid w:val="003555D4"/>
    <w:rsid w:val="00355F0E"/>
    <w:rsid w:val="00356083"/>
    <w:rsid w:val="0035616A"/>
    <w:rsid w:val="0035633D"/>
    <w:rsid w:val="00356359"/>
    <w:rsid w:val="00356AA9"/>
    <w:rsid w:val="00356D59"/>
    <w:rsid w:val="0035711F"/>
    <w:rsid w:val="00357188"/>
    <w:rsid w:val="0035729B"/>
    <w:rsid w:val="00357544"/>
    <w:rsid w:val="00357A41"/>
    <w:rsid w:val="00357A5C"/>
    <w:rsid w:val="00357E91"/>
    <w:rsid w:val="00360533"/>
    <w:rsid w:val="00360A39"/>
    <w:rsid w:val="00361927"/>
    <w:rsid w:val="00361DCD"/>
    <w:rsid w:val="00361E83"/>
    <w:rsid w:val="0036217E"/>
    <w:rsid w:val="00363673"/>
    <w:rsid w:val="00363E97"/>
    <w:rsid w:val="00364C93"/>
    <w:rsid w:val="003654E3"/>
    <w:rsid w:val="0036615F"/>
    <w:rsid w:val="00367107"/>
    <w:rsid w:val="00367765"/>
    <w:rsid w:val="00367FCB"/>
    <w:rsid w:val="00370388"/>
    <w:rsid w:val="003703EC"/>
    <w:rsid w:val="0037082D"/>
    <w:rsid w:val="003708C0"/>
    <w:rsid w:val="0037093C"/>
    <w:rsid w:val="003709A2"/>
    <w:rsid w:val="00370C93"/>
    <w:rsid w:val="00370F87"/>
    <w:rsid w:val="00371E13"/>
    <w:rsid w:val="0037255F"/>
    <w:rsid w:val="00372575"/>
    <w:rsid w:val="0037275D"/>
    <w:rsid w:val="00372C2A"/>
    <w:rsid w:val="003731CF"/>
    <w:rsid w:val="003737BE"/>
    <w:rsid w:val="00373A2F"/>
    <w:rsid w:val="00373B49"/>
    <w:rsid w:val="00373D71"/>
    <w:rsid w:val="00374835"/>
    <w:rsid w:val="003750B2"/>
    <w:rsid w:val="00375349"/>
    <w:rsid w:val="003758B0"/>
    <w:rsid w:val="00375B25"/>
    <w:rsid w:val="00375DA8"/>
    <w:rsid w:val="00375DE3"/>
    <w:rsid w:val="00376101"/>
    <w:rsid w:val="00376DFD"/>
    <w:rsid w:val="00376F28"/>
    <w:rsid w:val="00377378"/>
    <w:rsid w:val="00377EB0"/>
    <w:rsid w:val="00377FA2"/>
    <w:rsid w:val="00380389"/>
    <w:rsid w:val="00380856"/>
    <w:rsid w:val="00381138"/>
    <w:rsid w:val="00381A3C"/>
    <w:rsid w:val="00381D65"/>
    <w:rsid w:val="003820C9"/>
    <w:rsid w:val="00382284"/>
    <w:rsid w:val="00382A5D"/>
    <w:rsid w:val="00382D2C"/>
    <w:rsid w:val="003831D5"/>
    <w:rsid w:val="00383C54"/>
    <w:rsid w:val="003843DE"/>
    <w:rsid w:val="00384CBF"/>
    <w:rsid w:val="003850C5"/>
    <w:rsid w:val="0038521B"/>
    <w:rsid w:val="00385445"/>
    <w:rsid w:val="00385581"/>
    <w:rsid w:val="00385609"/>
    <w:rsid w:val="00385833"/>
    <w:rsid w:val="00385EC6"/>
    <w:rsid w:val="00386505"/>
    <w:rsid w:val="00386AEA"/>
    <w:rsid w:val="00386D65"/>
    <w:rsid w:val="00386D7D"/>
    <w:rsid w:val="00387224"/>
    <w:rsid w:val="0038756A"/>
    <w:rsid w:val="00387880"/>
    <w:rsid w:val="003878DD"/>
    <w:rsid w:val="00387C75"/>
    <w:rsid w:val="0039030E"/>
    <w:rsid w:val="00390755"/>
    <w:rsid w:val="00390C25"/>
    <w:rsid w:val="00391182"/>
    <w:rsid w:val="00392626"/>
    <w:rsid w:val="0039269B"/>
    <w:rsid w:val="0039281A"/>
    <w:rsid w:val="00392A93"/>
    <w:rsid w:val="00392AD4"/>
    <w:rsid w:val="003938BC"/>
    <w:rsid w:val="00393ADA"/>
    <w:rsid w:val="00394453"/>
    <w:rsid w:val="00394630"/>
    <w:rsid w:val="00395C29"/>
    <w:rsid w:val="003961E4"/>
    <w:rsid w:val="00396876"/>
    <w:rsid w:val="003968EC"/>
    <w:rsid w:val="00396CDF"/>
    <w:rsid w:val="00397804"/>
    <w:rsid w:val="003A012F"/>
    <w:rsid w:val="003A0A56"/>
    <w:rsid w:val="003A0DB2"/>
    <w:rsid w:val="003A1BA6"/>
    <w:rsid w:val="003A2543"/>
    <w:rsid w:val="003A2841"/>
    <w:rsid w:val="003A3640"/>
    <w:rsid w:val="003A36A8"/>
    <w:rsid w:val="003A40F2"/>
    <w:rsid w:val="003A4154"/>
    <w:rsid w:val="003A48A3"/>
    <w:rsid w:val="003A4B95"/>
    <w:rsid w:val="003A4ECF"/>
    <w:rsid w:val="003A53CD"/>
    <w:rsid w:val="003A56BD"/>
    <w:rsid w:val="003A6173"/>
    <w:rsid w:val="003A65C0"/>
    <w:rsid w:val="003A6D5B"/>
    <w:rsid w:val="003A772D"/>
    <w:rsid w:val="003A79E6"/>
    <w:rsid w:val="003A7E73"/>
    <w:rsid w:val="003B02D5"/>
    <w:rsid w:val="003B0742"/>
    <w:rsid w:val="003B0C8C"/>
    <w:rsid w:val="003B141D"/>
    <w:rsid w:val="003B16B1"/>
    <w:rsid w:val="003B1AB0"/>
    <w:rsid w:val="003B2327"/>
    <w:rsid w:val="003B246A"/>
    <w:rsid w:val="003B2A3B"/>
    <w:rsid w:val="003B2A50"/>
    <w:rsid w:val="003B2C7F"/>
    <w:rsid w:val="003B2EFC"/>
    <w:rsid w:val="003B316D"/>
    <w:rsid w:val="003B3E39"/>
    <w:rsid w:val="003B46E0"/>
    <w:rsid w:val="003B4856"/>
    <w:rsid w:val="003B5366"/>
    <w:rsid w:val="003B5CE7"/>
    <w:rsid w:val="003B5EB8"/>
    <w:rsid w:val="003B6674"/>
    <w:rsid w:val="003B6DD3"/>
    <w:rsid w:val="003B7869"/>
    <w:rsid w:val="003B79DF"/>
    <w:rsid w:val="003B7FBF"/>
    <w:rsid w:val="003C08E6"/>
    <w:rsid w:val="003C09FE"/>
    <w:rsid w:val="003C1188"/>
    <w:rsid w:val="003C1475"/>
    <w:rsid w:val="003C1507"/>
    <w:rsid w:val="003C1C0B"/>
    <w:rsid w:val="003C1ED3"/>
    <w:rsid w:val="003C2087"/>
    <w:rsid w:val="003C20A5"/>
    <w:rsid w:val="003C27AB"/>
    <w:rsid w:val="003C2EA4"/>
    <w:rsid w:val="003C2F9C"/>
    <w:rsid w:val="003C30F7"/>
    <w:rsid w:val="003C345B"/>
    <w:rsid w:val="003C3916"/>
    <w:rsid w:val="003C39CC"/>
    <w:rsid w:val="003C3EF0"/>
    <w:rsid w:val="003C40FB"/>
    <w:rsid w:val="003C5E02"/>
    <w:rsid w:val="003C6A55"/>
    <w:rsid w:val="003C6B8A"/>
    <w:rsid w:val="003C6E3B"/>
    <w:rsid w:val="003C704B"/>
    <w:rsid w:val="003C7FD5"/>
    <w:rsid w:val="003D0FA8"/>
    <w:rsid w:val="003D1285"/>
    <w:rsid w:val="003D1D1B"/>
    <w:rsid w:val="003D1EB1"/>
    <w:rsid w:val="003D21F8"/>
    <w:rsid w:val="003D336B"/>
    <w:rsid w:val="003D3543"/>
    <w:rsid w:val="003D3650"/>
    <w:rsid w:val="003D368D"/>
    <w:rsid w:val="003D3882"/>
    <w:rsid w:val="003D43F0"/>
    <w:rsid w:val="003D46A0"/>
    <w:rsid w:val="003D499C"/>
    <w:rsid w:val="003D4C03"/>
    <w:rsid w:val="003D5109"/>
    <w:rsid w:val="003D53D8"/>
    <w:rsid w:val="003D5449"/>
    <w:rsid w:val="003D55AE"/>
    <w:rsid w:val="003D5877"/>
    <w:rsid w:val="003D5FC7"/>
    <w:rsid w:val="003D6351"/>
    <w:rsid w:val="003D64C5"/>
    <w:rsid w:val="003D746D"/>
    <w:rsid w:val="003D7A58"/>
    <w:rsid w:val="003D7EB6"/>
    <w:rsid w:val="003E0015"/>
    <w:rsid w:val="003E0AD8"/>
    <w:rsid w:val="003E0ADC"/>
    <w:rsid w:val="003E221F"/>
    <w:rsid w:val="003E280B"/>
    <w:rsid w:val="003E2FAA"/>
    <w:rsid w:val="003E36C7"/>
    <w:rsid w:val="003E3B16"/>
    <w:rsid w:val="003E3B64"/>
    <w:rsid w:val="003E3CE1"/>
    <w:rsid w:val="003E3F0A"/>
    <w:rsid w:val="003E423A"/>
    <w:rsid w:val="003E490B"/>
    <w:rsid w:val="003E4D54"/>
    <w:rsid w:val="003E5300"/>
    <w:rsid w:val="003E5B32"/>
    <w:rsid w:val="003E6251"/>
    <w:rsid w:val="003E65D0"/>
    <w:rsid w:val="003E6688"/>
    <w:rsid w:val="003E6B51"/>
    <w:rsid w:val="003E6E57"/>
    <w:rsid w:val="003E72CA"/>
    <w:rsid w:val="003E7574"/>
    <w:rsid w:val="003F0590"/>
    <w:rsid w:val="003F082B"/>
    <w:rsid w:val="003F0ECE"/>
    <w:rsid w:val="003F12D0"/>
    <w:rsid w:val="003F2118"/>
    <w:rsid w:val="003F2627"/>
    <w:rsid w:val="003F3839"/>
    <w:rsid w:val="003F39DF"/>
    <w:rsid w:val="003F47FB"/>
    <w:rsid w:val="003F4810"/>
    <w:rsid w:val="003F4D4E"/>
    <w:rsid w:val="003F54B8"/>
    <w:rsid w:val="003F56E4"/>
    <w:rsid w:val="003F5BE6"/>
    <w:rsid w:val="003F5CCA"/>
    <w:rsid w:val="003F62B4"/>
    <w:rsid w:val="003F65C7"/>
    <w:rsid w:val="003F6D5F"/>
    <w:rsid w:val="003F77C9"/>
    <w:rsid w:val="003F77F7"/>
    <w:rsid w:val="003F7860"/>
    <w:rsid w:val="003F7883"/>
    <w:rsid w:val="003F7AB8"/>
    <w:rsid w:val="0040095D"/>
    <w:rsid w:val="00400B91"/>
    <w:rsid w:val="004014EC"/>
    <w:rsid w:val="00401A20"/>
    <w:rsid w:val="00401DA9"/>
    <w:rsid w:val="00401F09"/>
    <w:rsid w:val="00402BF6"/>
    <w:rsid w:val="00402F9E"/>
    <w:rsid w:val="00403BE4"/>
    <w:rsid w:val="004047EC"/>
    <w:rsid w:val="00405460"/>
    <w:rsid w:val="0040549D"/>
    <w:rsid w:val="004055CB"/>
    <w:rsid w:val="00405BB4"/>
    <w:rsid w:val="00406323"/>
    <w:rsid w:val="004063D6"/>
    <w:rsid w:val="004066F3"/>
    <w:rsid w:val="00406F20"/>
    <w:rsid w:val="00407210"/>
    <w:rsid w:val="004076B5"/>
    <w:rsid w:val="004078FD"/>
    <w:rsid w:val="00407969"/>
    <w:rsid w:val="00407FC2"/>
    <w:rsid w:val="004107B3"/>
    <w:rsid w:val="004116B5"/>
    <w:rsid w:val="00411C50"/>
    <w:rsid w:val="0041238A"/>
    <w:rsid w:val="00412562"/>
    <w:rsid w:val="004129E7"/>
    <w:rsid w:val="004132D7"/>
    <w:rsid w:val="00413304"/>
    <w:rsid w:val="00413AF9"/>
    <w:rsid w:val="0041408E"/>
    <w:rsid w:val="0041485A"/>
    <w:rsid w:val="00415602"/>
    <w:rsid w:val="00415C17"/>
    <w:rsid w:val="00415D3B"/>
    <w:rsid w:val="00415EA3"/>
    <w:rsid w:val="00416428"/>
    <w:rsid w:val="004168DB"/>
    <w:rsid w:val="00417102"/>
    <w:rsid w:val="00417139"/>
    <w:rsid w:val="004172D6"/>
    <w:rsid w:val="00417562"/>
    <w:rsid w:val="00417D03"/>
    <w:rsid w:val="0042021F"/>
    <w:rsid w:val="00420481"/>
    <w:rsid w:val="00420827"/>
    <w:rsid w:val="00420933"/>
    <w:rsid w:val="00420BCD"/>
    <w:rsid w:val="0042159A"/>
    <w:rsid w:val="00421D06"/>
    <w:rsid w:val="00422685"/>
    <w:rsid w:val="004226D5"/>
    <w:rsid w:val="004229FD"/>
    <w:rsid w:val="00422B30"/>
    <w:rsid w:val="00422EAF"/>
    <w:rsid w:val="00422F22"/>
    <w:rsid w:val="00423063"/>
    <w:rsid w:val="00424197"/>
    <w:rsid w:val="00424CE5"/>
    <w:rsid w:val="0042590E"/>
    <w:rsid w:val="00425926"/>
    <w:rsid w:val="0042594C"/>
    <w:rsid w:val="004261E2"/>
    <w:rsid w:val="004262AB"/>
    <w:rsid w:val="00426CF2"/>
    <w:rsid w:val="00427564"/>
    <w:rsid w:val="00427600"/>
    <w:rsid w:val="00427FCB"/>
    <w:rsid w:val="00430152"/>
    <w:rsid w:val="00431069"/>
    <w:rsid w:val="00431814"/>
    <w:rsid w:val="00432133"/>
    <w:rsid w:val="004329F5"/>
    <w:rsid w:val="00432B38"/>
    <w:rsid w:val="00432BC2"/>
    <w:rsid w:val="00432BCE"/>
    <w:rsid w:val="004333A4"/>
    <w:rsid w:val="00433909"/>
    <w:rsid w:val="004339AF"/>
    <w:rsid w:val="00433FCC"/>
    <w:rsid w:val="00434280"/>
    <w:rsid w:val="00434B8E"/>
    <w:rsid w:val="0043559D"/>
    <w:rsid w:val="0043565F"/>
    <w:rsid w:val="004356DB"/>
    <w:rsid w:val="00436211"/>
    <w:rsid w:val="0043635A"/>
    <w:rsid w:val="00436A3C"/>
    <w:rsid w:val="00436BF9"/>
    <w:rsid w:val="0043700F"/>
    <w:rsid w:val="004370B8"/>
    <w:rsid w:val="00437190"/>
    <w:rsid w:val="004372FD"/>
    <w:rsid w:val="004379D5"/>
    <w:rsid w:val="00437A60"/>
    <w:rsid w:val="00437DF1"/>
    <w:rsid w:val="00440248"/>
    <w:rsid w:val="00440B98"/>
    <w:rsid w:val="004413E5"/>
    <w:rsid w:val="00441C09"/>
    <w:rsid w:val="0044204C"/>
    <w:rsid w:val="00442489"/>
    <w:rsid w:val="00442D1B"/>
    <w:rsid w:val="004434D9"/>
    <w:rsid w:val="0044354C"/>
    <w:rsid w:val="0044460E"/>
    <w:rsid w:val="00444A06"/>
    <w:rsid w:val="00445325"/>
    <w:rsid w:val="004459BE"/>
    <w:rsid w:val="00445B43"/>
    <w:rsid w:val="00446111"/>
    <w:rsid w:val="00446791"/>
    <w:rsid w:val="00446AB7"/>
    <w:rsid w:val="00446BA5"/>
    <w:rsid w:val="00446FA1"/>
    <w:rsid w:val="004470E3"/>
    <w:rsid w:val="00447206"/>
    <w:rsid w:val="00447803"/>
    <w:rsid w:val="00447BC1"/>
    <w:rsid w:val="00447CE3"/>
    <w:rsid w:val="00450246"/>
    <w:rsid w:val="00450AA0"/>
    <w:rsid w:val="004512DD"/>
    <w:rsid w:val="00451300"/>
    <w:rsid w:val="004515AF"/>
    <w:rsid w:val="0045173D"/>
    <w:rsid w:val="00451A00"/>
    <w:rsid w:val="00451ABF"/>
    <w:rsid w:val="004530D2"/>
    <w:rsid w:val="0045315C"/>
    <w:rsid w:val="00453478"/>
    <w:rsid w:val="00454522"/>
    <w:rsid w:val="00454582"/>
    <w:rsid w:val="00454744"/>
    <w:rsid w:val="0045611C"/>
    <w:rsid w:val="00457392"/>
    <w:rsid w:val="004576A1"/>
    <w:rsid w:val="00457B9D"/>
    <w:rsid w:val="004604C1"/>
    <w:rsid w:val="0046059A"/>
    <w:rsid w:val="00460AD3"/>
    <w:rsid w:val="00460D48"/>
    <w:rsid w:val="00461D73"/>
    <w:rsid w:val="00461DE2"/>
    <w:rsid w:val="00461EBD"/>
    <w:rsid w:val="004625D8"/>
    <w:rsid w:val="004629FF"/>
    <w:rsid w:val="00462C92"/>
    <w:rsid w:val="00462D0F"/>
    <w:rsid w:val="004631AC"/>
    <w:rsid w:val="004631B1"/>
    <w:rsid w:val="0046331A"/>
    <w:rsid w:val="00464085"/>
    <w:rsid w:val="00464B0B"/>
    <w:rsid w:val="00465D24"/>
    <w:rsid w:val="00465EF2"/>
    <w:rsid w:val="00466468"/>
    <w:rsid w:val="00466EEB"/>
    <w:rsid w:val="00467571"/>
    <w:rsid w:val="004676D2"/>
    <w:rsid w:val="0047038D"/>
    <w:rsid w:val="004703D8"/>
    <w:rsid w:val="004705F5"/>
    <w:rsid w:val="00470889"/>
    <w:rsid w:val="00470C0C"/>
    <w:rsid w:val="00471023"/>
    <w:rsid w:val="004710C0"/>
    <w:rsid w:val="00471216"/>
    <w:rsid w:val="00471980"/>
    <w:rsid w:val="00471A8B"/>
    <w:rsid w:val="00471E4A"/>
    <w:rsid w:val="004722E0"/>
    <w:rsid w:val="00472601"/>
    <w:rsid w:val="00473170"/>
    <w:rsid w:val="004731EE"/>
    <w:rsid w:val="00473DAB"/>
    <w:rsid w:val="0047403B"/>
    <w:rsid w:val="00474042"/>
    <w:rsid w:val="0047406C"/>
    <w:rsid w:val="00474349"/>
    <w:rsid w:val="0047492D"/>
    <w:rsid w:val="00474E2B"/>
    <w:rsid w:val="00474E90"/>
    <w:rsid w:val="004757C8"/>
    <w:rsid w:val="00476248"/>
    <w:rsid w:val="00476785"/>
    <w:rsid w:val="0047696F"/>
    <w:rsid w:val="004769A8"/>
    <w:rsid w:val="00476B82"/>
    <w:rsid w:val="00476ECD"/>
    <w:rsid w:val="00477645"/>
    <w:rsid w:val="00477BEE"/>
    <w:rsid w:val="00477EE0"/>
    <w:rsid w:val="0048016F"/>
    <w:rsid w:val="00480371"/>
    <w:rsid w:val="00480560"/>
    <w:rsid w:val="00480A2C"/>
    <w:rsid w:val="0048128D"/>
    <w:rsid w:val="00481B60"/>
    <w:rsid w:val="00482055"/>
    <w:rsid w:val="00482303"/>
    <w:rsid w:val="00482D44"/>
    <w:rsid w:val="004832C7"/>
    <w:rsid w:val="004837D0"/>
    <w:rsid w:val="00484AEE"/>
    <w:rsid w:val="00484CC7"/>
    <w:rsid w:val="004855B3"/>
    <w:rsid w:val="00485F78"/>
    <w:rsid w:val="0048668F"/>
    <w:rsid w:val="00486C8E"/>
    <w:rsid w:val="00486E1F"/>
    <w:rsid w:val="004871B4"/>
    <w:rsid w:val="004872B7"/>
    <w:rsid w:val="00490A8E"/>
    <w:rsid w:val="00490F59"/>
    <w:rsid w:val="00491AAD"/>
    <w:rsid w:val="00491BAA"/>
    <w:rsid w:val="00491BCF"/>
    <w:rsid w:val="004928AB"/>
    <w:rsid w:val="00492C43"/>
    <w:rsid w:val="00493280"/>
    <w:rsid w:val="00493434"/>
    <w:rsid w:val="0049386D"/>
    <w:rsid w:val="004938CD"/>
    <w:rsid w:val="00493F8C"/>
    <w:rsid w:val="004940AE"/>
    <w:rsid w:val="00494109"/>
    <w:rsid w:val="0049490D"/>
    <w:rsid w:val="00494A20"/>
    <w:rsid w:val="00494B54"/>
    <w:rsid w:val="00495220"/>
    <w:rsid w:val="0049534C"/>
    <w:rsid w:val="004953C8"/>
    <w:rsid w:val="0049590C"/>
    <w:rsid w:val="0049596D"/>
    <w:rsid w:val="00495BAE"/>
    <w:rsid w:val="004960E3"/>
    <w:rsid w:val="0049628D"/>
    <w:rsid w:val="004968DA"/>
    <w:rsid w:val="00497829"/>
    <w:rsid w:val="00497923"/>
    <w:rsid w:val="004979C5"/>
    <w:rsid w:val="00497AF0"/>
    <w:rsid w:val="00497C45"/>
    <w:rsid w:val="00497FED"/>
    <w:rsid w:val="004A009F"/>
    <w:rsid w:val="004A041C"/>
    <w:rsid w:val="004A071D"/>
    <w:rsid w:val="004A0CDF"/>
    <w:rsid w:val="004A0FFB"/>
    <w:rsid w:val="004A1286"/>
    <w:rsid w:val="004A1932"/>
    <w:rsid w:val="004A1B6B"/>
    <w:rsid w:val="004A1D75"/>
    <w:rsid w:val="004A253B"/>
    <w:rsid w:val="004A382D"/>
    <w:rsid w:val="004A436F"/>
    <w:rsid w:val="004A4693"/>
    <w:rsid w:val="004A4AF8"/>
    <w:rsid w:val="004A4D62"/>
    <w:rsid w:val="004A526D"/>
    <w:rsid w:val="004A5FBF"/>
    <w:rsid w:val="004A63E4"/>
    <w:rsid w:val="004A63EC"/>
    <w:rsid w:val="004A6947"/>
    <w:rsid w:val="004A6F0E"/>
    <w:rsid w:val="004A73AB"/>
    <w:rsid w:val="004A740D"/>
    <w:rsid w:val="004A7E83"/>
    <w:rsid w:val="004B00E1"/>
    <w:rsid w:val="004B0A55"/>
    <w:rsid w:val="004B0A56"/>
    <w:rsid w:val="004B0F75"/>
    <w:rsid w:val="004B11A7"/>
    <w:rsid w:val="004B12DB"/>
    <w:rsid w:val="004B1534"/>
    <w:rsid w:val="004B2643"/>
    <w:rsid w:val="004B26D6"/>
    <w:rsid w:val="004B2A05"/>
    <w:rsid w:val="004B2B00"/>
    <w:rsid w:val="004B2B6C"/>
    <w:rsid w:val="004B3191"/>
    <w:rsid w:val="004B31E4"/>
    <w:rsid w:val="004B37DC"/>
    <w:rsid w:val="004B42E7"/>
    <w:rsid w:val="004B4911"/>
    <w:rsid w:val="004B53F7"/>
    <w:rsid w:val="004B5E03"/>
    <w:rsid w:val="004B5F60"/>
    <w:rsid w:val="004B5FA6"/>
    <w:rsid w:val="004B60F3"/>
    <w:rsid w:val="004B660B"/>
    <w:rsid w:val="004B69D6"/>
    <w:rsid w:val="004B6EFC"/>
    <w:rsid w:val="004B706A"/>
    <w:rsid w:val="004B75CA"/>
    <w:rsid w:val="004B7A21"/>
    <w:rsid w:val="004C01FF"/>
    <w:rsid w:val="004C06C4"/>
    <w:rsid w:val="004C07BB"/>
    <w:rsid w:val="004C07FE"/>
    <w:rsid w:val="004C0E96"/>
    <w:rsid w:val="004C0F5B"/>
    <w:rsid w:val="004C1A0C"/>
    <w:rsid w:val="004C1ADC"/>
    <w:rsid w:val="004C2091"/>
    <w:rsid w:val="004C24D1"/>
    <w:rsid w:val="004C3627"/>
    <w:rsid w:val="004C3740"/>
    <w:rsid w:val="004C3C3E"/>
    <w:rsid w:val="004C3CBF"/>
    <w:rsid w:val="004C464C"/>
    <w:rsid w:val="004C4732"/>
    <w:rsid w:val="004C5C7E"/>
    <w:rsid w:val="004C5DD6"/>
    <w:rsid w:val="004C6F98"/>
    <w:rsid w:val="004C7581"/>
    <w:rsid w:val="004C7A35"/>
    <w:rsid w:val="004D053B"/>
    <w:rsid w:val="004D0961"/>
    <w:rsid w:val="004D0BBE"/>
    <w:rsid w:val="004D0BCD"/>
    <w:rsid w:val="004D1299"/>
    <w:rsid w:val="004D1853"/>
    <w:rsid w:val="004D29E6"/>
    <w:rsid w:val="004D3524"/>
    <w:rsid w:val="004D357C"/>
    <w:rsid w:val="004D35AD"/>
    <w:rsid w:val="004D3722"/>
    <w:rsid w:val="004D3900"/>
    <w:rsid w:val="004D3952"/>
    <w:rsid w:val="004D398A"/>
    <w:rsid w:val="004D3F90"/>
    <w:rsid w:val="004D4448"/>
    <w:rsid w:val="004D4459"/>
    <w:rsid w:val="004D4633"/>
    <w:rsid w:val="004D464B"/>
    <w:rsid w:val="004D4A1F"/>
    <w:rsid w:val="004D4B78"/>
    <w:rsid w:val="004D4D7D"/>
    <w:rsid w:val="004D4F26"/>
    <w:rsid w:val="004D5AFD"/>
    <w:rsid w:val="004D5EF6"/>
    <w:rsid w:val="004D6A39"/>
    <w:rsid w:val="004E02F7"/>
    <w:rsid w:val="004E07D8"/>
    <w:rsid w:val="004E0EC5"/>
    <w:rsid w:val="004E1002"/>
    <w:rsid w:val="004E1319"/>
    <w:rsid w:val="004E134C"/>
    <w:rsid w:val="004E13FD"/>
    <w:rsid w:val="004E1723"/>
    <w:rsid w:val="004E17D3"/>
    <w:rsid w:val="004E1975"/>
    <w:rsid w:val="004E1A9F"/>
    <w:rsid w:val="004E1E85"/>
    <w:rsid w:val="004E235A"/>
    <w:rsid w:val="004E24D2"/>
    <w:rsid w:val="004E2E67"/>
    <w:rsid w:val="004E315B"/>
    <w:rsid w:val="004E3568"/>
    <w:rsid w:val="004E38EF"/>
    <w:rsid w:val="004E394E"/>
    <w:rsid w:val="004E49C6"/>
    <w:rsid w:val="004E4BDD"/>
    <w:rsid w:val="004E4FDD"/>
    <w:rsid w:val="004E52AF"/>
    <w:rsid w:val="004E52D8"/>
    <w:rsid w:val="004E532C"/>
    <w:rsid w:val="004E5C3A"/>
    <w:rsid w:val="004E6A7A"/>
    <w:rsid w:val="004E6BC1"/>
    <w:rsid w:val="004E7483"/>
    <w:rsid w:val="004F06EA"/>
    <w:rsid w:val="004F0A5E"/>
    <w:rsid w:val="004F0B9E"/>
    <w:rsid w:val="004F27CF"/>
    <w:rsid w:val="004F2888"/>
    <w:rsid w:val="004F293E"/>
    <w:rsid w:val="004F2C4C"/>
    <w:rsid w:val="004F34E8"/>
    <w:rsid w:val="004F3C7C"/>
    <w:rsid w:val="004F401D"/>
    <w:rsid w:val="004F45A4"/>
    <w:rsid w:val="004F45B9"/>
    <w:rsid w:val="004F4CD3"/>
    <w:rsid w:val="004F541A"/>
    <w:rsid w:val="004F548F"/>
    <w:rsid w:val="004F570C"/>
    <w:rsid w:val="004F5E3A"/>
    <w:rsid w:val="004F60DA"/>
    <w:rsid w:val="004F7395"/>
    <w:rsid w:val="004F76E2"/>
    <w:rsid w:val="004F7802"/>
    <w:rsid w:val="00500670"/>
    <w:rsid w:val="005009BE"/>
    <w:rsid w:val="005016A4"/>
    <w:rsid w:val="00501A39"/>
    <w:rsid w:val="0050204D"/>
    <w:rsid w:val="00502663"/>
    <w:rsid w:val="00502829"/>
    <w:rsid w:val="00502CEF"/>
    <w:rsid w:val="005034C5"/>
    <w:rsid w:val="00503D6D"/>
    <w:rsid w:val="00503E00"/>
    <w:rsid w:val="00503EF7"/>
    <w:rsid w:val="0050412F"/>
    <w:rsid w:val="0050499F"/>
    <w:rsid w:val="00504D09"/>
    <w:rsid w:val="00505019"/>
    <w:rsid w:val="0050506C"/>
    <w:rsid w:val="005055AC"/>
    <w:rsid w:val="005055B6"/>
    <w:rsid w:val="00505AA9"/>
    <w:rsid w:val="00505BA8"/>
    <w:rsid w:val="00505C32"/>
    <w:rsid w:val="00505F81"/>
    <w:rsid w:val="00506343"/>
    <w:rsid w:val="005075BB"/>
    <w:rsid w:val="0050794C"/>
    <w:rsid w:val="00507EE2"/>
    <w:rsid w:val="00510061"/>
    <w:rsid w:val="0051137F"/>
    <w:rsid w:val="005115D6"/>
    <w:rsid w:val="0051169B"/>
    <w:rsid w:val="005121A0"/>
    <w:rsid w:val="0051222A"/>
    <w:rsid w:val="0051243B"/>
    <w:rsid w:val="00512A70"/>
    <w:rsid w:val="00512AC1"/>
    <w:rsid w:val="00512D48"/>
    <w:rsid w:val="0051300E"/>
    <w:rsid w:val="00513CEF"/>
    <w:rsid w:val="0051449C"/>
    <w:rsid w:val="005145F3"/>
    <w:rsid w:val="00514A0C"/>
    <w:rsid w:val="00514CCC"/>
    <w:rsid w:val="00514EB8"/>
    <w:rsid w:val="00515877"/>
    <w:rsid w:val="00515AB6"/>
    <w:rsid w:val="0051673C"/>
    <w:rsid w:val="005169BB"/>
    <w:rsid w:val="00517029"/>
    <w:rsid w:val="0051733D"/>
    <w:rsid w:val="0051787B"/>
    <w:rsid w:val="00517F5C"/>
    <w:rsid w:val="0052014E"/>
    <w:rsid w:val="00520198"/>
    <w:rsid w:val="00520CB1"/>
    <w:rsid w:val="00521BC1"/>
    <w:rsid w:val="00521D36"/>
    <w:rsid w:val="00521FC4"/>
    <w:rsid w:val="005231ED"/>
    <w:rsid w:val="005237A5"/>
    <w:rsid w:val="005239A0"/>
    <w:rsid w:val="00523C20"/>
    <w:rsid w:val="00523E1B"/>
    <w:rsid w:val="005246D9"/>
    <w:rsid w:val="0052485D"/>
    <w:rsid w:val="005249DA"/>
    <w:rsid w:val="00524CB1"/>
    <w:rsid w:val="0052539D"/>
    <w:rsid w:val="00525461"/>
    <w:rsid w:val="005258B9"/>
    <w:rsid w:val="005263E4"/>
    <w:rsid w:val="00526709"/>
    <w:rsid w:val="005271C8"/>
    <w:rsid w:val="0052741C"/>
    <w:rsid w:val="00527551"/>
    <w:rsid w:val="0052763F"/>
    <w:rsid w:val="00527782"/>
    <w:rsid w:val="005277FE"/>
    <w:rsid w:val="00527CCA"/>
    <w:rsid w:val="00527CF1"/>
    <w:rsid w:val="00527F4C"/>
    <w:rsid w:val="005300A5"/>
    <w:rsid w:val="00530BA6"/>
    <w:rsid w:val="005314A7"/>
    <w:rsid w:val="0053157C"/>
    <w:rsid w:val="0053158A"/>
    <w:rsid w:val="0053164A"/>
    <w:rsid w:val="00531905"/>
    <w:rsid w:val="00531937"/>
    <w:rsid w:val="00531999"/>
    <w:rsid w:val="00531C2B"/>
    <w:rsid w:val="00531ECB"/>
    <w:rsid w:val="00532474"/>
    <w:rsid w:val="00532607"/>
    <w:rsid w:val="00532ABC"/>
    <w:rsid w:val="00532C20"/>
    <w:rsid w:val="00533EB1"/>
    <w:rsid w:val="0053420F"/>
    <w:rsid w:val="005342F6"/>
    <w:rsid w:val="005344A6"/>
    <w:rsid w:val="00534502"/>
    <w:rsid w:val="005349D3"/>
    <w:rsid w:val="00534DAA"/>
    <w:rsid w:val="00535B27"/>
    <w:rsid w:val="00535BC3"/>
    <w:rsid w:val="0053651E"/>
    <w:rsid w:val="00536A4C"/>
    <w:rsid w:val="00536D6D"/>
    <w:rsid w:val="005370B6"/>
    <w:rsid w:val="00537AF1"/>
    <w:rsid w:val="00537C6A"/>
    <w:rsid w:val="00537F99"/>
    <w:rsid w:val="00540443"/>
    <w:rsid w:val="00541179"/>
    <w:rsid w:val="005414C9"/>
    <w:rsid w:val="005415EE"/>
    <w:rsid w:val="0054163B"/>
    <w:rsid w:val="0054175E"/>
    <w:rsid w:val="005419CB"/>
    <w:rsid w:val="00542076"/>
    <w:rsid w:val="0054254B"/>
    <w:rsid w:val="00543988"/>
    <w:rsid w:val="00544064"/>
    <w:rsid w:val="00544241"/>
    <w:rsid w:val="0054462D"/>
    <w:rsid w:val="00544B1C"/>
    <w:rsid w:val="00544CBC"/>
    <w:rsid w:val="00545BF0"/>
    <w:rsid w:val="00546014"/>
    <w:rsid w:val="0054613F"/>
    <w:rsid w:val="005461D0"/>
    <w:rsid w:val="00546300"/>
    <w:rsid w:val="00546371"/>
    <w:rsid w:val="0054642B"/>
    <w:rsid w:val="00546ADB"/>
    <w:rsid w:val="00546B23"/>
    <w:rsid w:val="00546C6A"/>
    <w:rsid w:val="00546F82"/>
    <w:rsid w:val="00547193"/>
    <w:rsid w:val="00547540"/>
    <w:rsid w:val="00547630"/>
    <w:rsid w:val="005476BA"/>
    <w:rsid w:val="00547983"/>
    <w:rsid w:val="00547A27"/>
    <w:rsid w:val="00547AD7"/>
    <w:rsid w:val="00547DAC"/>
    <w:rsid w:val="00547E99"/>
    <w:rsid w:val="005505AB"/>
    <w:rsid w:val="005507FE"/>
    <w:rsid w:val="0055105C"/>
    <w:rsid w:val="005518F2"/>
    <w:rsid w:val="00552250"/>
    <w:rsid w:val="005523C8"/>
    <w:rsid w:val="005526CB"/>
    <w:rsid w:val="005529E5"/>
    <w:rsid w:val="00552A7B"/>
    <w:rsid w:val="00553360"/>
    <w:rsid w:val="00553601"/>
    <w:rsid w:val="00553710"/>
    <w:rsid w:val="00553DCC"/>
    <w:rsid w:val="00553FB8"/>
    <w:rsid w:val="00554347"/>
    <w:rsid w:val="0055469B"/>
    <w:rsid w:val="0055478C"/>
    <w:rsid w:val="00554B22"/>
    <w:rsid w:val="00554D35"/>
    <w:rsid w:val="00554FEB"/>
    <w:rsid w:val="005550E8"/>
    <w:rsid w:val="00555241"/>
    <w:rsid w:val="005553BC"/>
    <w:rsid w:val="0055565C"/>
    <w:rsid w:val="00555A3F"/>
    <w:rsid w:val="00555C3A"/>
    <w:rsid w:val="00555D21"/>
    <w:rsid w:val="00555FCC"/>
    <w:rsid w:val="005563B1"/>
    <w:rsid w:val="00557CC4"/>
    <w:rsid w:val="0056070F"/>
    <w:rsid w:val="0056091E"/>
    <w:rsid w:val="00560B26"/>
    <w:rsid w:val="00560B9C"/>
    <w:rsid w:val="00560E52"/>
    <w:rsid w:val="00560E87"/>
    <w:rsid w:val="00561330"/>
    <w:rsid w:val="005619E0"/>
    <w:rsid w:val="005623F3"/>
    <w:rsid w:val="0056248E"/>
    <w:rsid w:val="0056292E"/>
    <w:rsid w:val="005633E1"/>
    <w:rsid w:val="0056385D"/>
    <w:rsid w:val="00563B43"/>
    <w:rsid w:val="00564569"/>
    <w:rsid w:val="00564D58"/>
    <w:rsid w:val="00565452"/>
    <w:rsid w:val="0056579B"/>
    <w:rsid w:val="00565959"/>
    <w:rsid w:val="00565A7E"/>
    <w:rsid w:val="00565B7E"/>
    <w:rsid w:val="0056748C"/>
    <w:rsid w:val="005679D7"/>
    <w:rsid w:val="00567FC3"/>
    <w:rsid w:val="00570114"/>
    <w:rsid w:val="005704DC"/>
    <w:rsid w:val="00570B18"/>
    <w:rsid w:val="00570D8C"/>
    <w:rsid w:val="0057152D"/>
    <w:rsid w:val="00571552"/>
    <w:rsid w:val="005729C6"/>
    <w:rsid w:val="00572AC6"/>
    <w:rsid w:val="005734D7"/>
    <w:rsid w:val="005736E9"/>
    <w:rsid w:val="0057430E"/>
    <w:rsid w:val="0057491D"/>
    <w:rsid w:val="00574B39"/>
    <w:rsid w:val="00575610"/>
    <w:rsid w:val="00575C1F"/>
    <w:rsid w:val="00575CDC"/>
    <w:rsid w:val="005769BC"/>
    <w:rsid w:val="005772D2"/>
    <w:rsid w:val="00577356"/>
    <w:rsid w:val="00577910"/>
    <w:rsid w:val="00577C63"/>
    <w:rsid w:val="00577D69"/>
    <w:rsid w:val="0058020E"/>
    <w:rsid w:val="005808C6"/>
    <w:rsid w:val="00580B40"/>
    <w:rsid w:val="00580FC6"/>
    <w:rsid w:val="0058130D"/>
    <w:rsid w:val="00581DFF"/>
    <w:rsid w:val="00582731"/>
    <w:rsid w:val="00583173"/>
    <w:rsid w:val="005838D4"/>
    <w:rsid w:val="00583DFD"/>
    <w:rsid w:val="00583E5E"/>
    <w:rsid w:val="00583F89"/>
    <w:rsid w:val="0058403F"/>
    <w:rsid w:val="005840FC"/>
    <w:rsid w:val="005845D3"/>
    <w:rsid w:val="00584BF1"/>
    <w:rsid w:val="0058516F"/>
    <w:rsid w:val="0058566C"/>
    <w:rsid w:val="005858B1"/>
    <w:rsid w:val="0058678B"/>
    <w:rsid w:val="00586ADE"/>
    <w:rsid w:val="0058709F"/>
    <w:rsid w:val="00587A8E"/>
    <w:rsid w:val="00587EAC"/>
    <w:rsid w:val="00591579"/>
    <w:rsid w:val="005921F9"/>
    <w:rsid w:val="0059237B"/>
    <w:rsid w:val="005928FD"/>
    <w:rsid w:val="00592F41"/>
    <w:rsid w:val="00593414"/>
    <w:rsid w:val="0059357F"/>
    <w:rsid w:val="005935BC"/>
    <w:rsid w:val="005938AB"/>
    <w:rsid w:val="00593B03"/>
    <w:rsid w:val="00594AEC"/>
    <w:rsid w:val="00595BAD"/>
    <w:rsid w:val="00595EA6"/>
    <w:rsid w:val="005961AD"/>
    <w:rsid w:val="005965F2"/>
    <w:rsid w:val="00596720"/>
    <w:rsid w:val="005967D1"/>
    <w:rsid w:val="0059712B"/>
    <w:rsid w:val="00597BFF"/>
    <w:rsid w:val="00597F46"/>
    <w:rsid w:val="005A0007"/>
    <w:rsid w:val="005A0501"/>
    <w:rsid w:val="005A0692"/>
    <w:rsid w:val="005A0AEE"/>
    <w:rsid w:val="005A1346"/>
    <w:rsid w:val="005A14B9"/>
    <w:rsid w:val="005A173A"/>
    <w:rsid w:val="005A17B0"/>
    <w:rsid w:val="005A1981"/>
    <w:rsid w:val="005A1A2E"/>
    <w:rsid w:val="005A1C4A"/>
    <w:rsid w:val="005A2248"/>
    <w:rsid w:val="005A2252"/>
    <w:rsid w:val="005A233F"/>
    <w:rsid w:val="005A2736"/>
    <w:rsid w:val="005A276A"/>
    <w:rsid w:val="005A27F5"/>
    <w:rsid w:val="005A28EB"/>
    <w:rsid w:val="005A2DE3"/>
    <w:rsid w:val="005A2E29"/>
    <w:rsid w:val="005A2E6A"/>
    <w:rsid w:val="005A3160"/>
    <w:rsid w:val="005A354C"/>
    <w:rsid w:val="005A3C03"/>
    <w:rsid w:val="005A3DEB"/>
    <w:rsid w:val="005A3F33"/>
    <w:rsid w:val="005A4037"/>
    <w:rsid w:val="005A5A04"/>
    <w:rsid w:val="005A5E69"/>
    <w:rsid w:val="005A6765"/>
    <w:rsid w:val="005A6DA7"/>
    <w:rsid w:val="005A709A"/>
    <w:rsid w:val="005A72FB"/>
    <w:rsid w:val="005A7507"/>
    <w:rsid w:val="005A7965"/>
    <w:rsid w:val="005B05B4"/>
    <w:rsid w:val="005B078A"/>
    <w:rsid w:val="005B0856"/>
    <w:rsid w:val="005B0C36"/>
    <w:rsid w:val="005B0F46"/>
    <w:rsid w:val="005B12C0"/>
    <w:rsid w:val="005B1380"/>
    <w:rsid w:val="005B1465"/>
    <w:rsid w:val="005B15A2"/>
    <w:rsid w:val="005B1BFA"/>
    <w:rsid w:val="005B1DF6"/>
    <w:rsid w:val="005B1F11"/>
    <w:rsid w:val="005B2150"/>
    <w:rsid w:val="005B24EE"/>
    <w:rsid w:val="005B2518"/>
    <w:rsid w:val="005B2A5D"/>
    <w:rsid w:val="005B2ED7"/>
    <w:rsid w:val="005B3244"/>
    <w:rsid w:val="005B3268"/>
    <w:rsid w:val="005B335D"/>
    <w:rsid w:val="005B33A9"/>
    <w:rsid w:val="005B35DB"/>
    <w:rsid w:val="005B37AC"/>
    <w:rsid w:val="005B37C5"/>
    <w:rsid w:val="005B38AE"/>
    <w:rsid w:val="005B3AB8"/>
    <w:rsid w:val="005B3AC3"/>
    <w:rsid w:val="005B4A0C"/>
    <w:rsid w:val="005B4DBF"/>
    <w:rsid w:val="005B52B6"/>
    <w:rsid w:val="005B5327"/>
    <w:rsid w:val="005B5770"/>
    <w:rsid w:val="005B5B64"/>
    <w:rsid w:val="005B5D09"/>
    <w:rsid w:val="005B6439"/>
    <w:rsid w:val="005B6F71"/>
    <w:rsid w:val="005B7DA4"/>
    <w:rsid w:val="005B7E13"/>
    <w:rsid w:val="005C0507"/>
    <w:rsid w:val="005C0E0E"/>
    <w:rsid w:val="005C0FF5"/>
    <w:rsid w:val="005C11A9"/>
    <w:rsid w:val="005C1D65"/>
    <w:rsid w:val="005C2237"/>
    <w:rsid w:val="005C2E5A"/>
    <w:rsid w:val="005C352A"/>
    <w:rsid w:val="005C3B88"/>
    <w:rsid w:val="005C3DB7"/>
    <w:rsid w:val="005C3F7C"/>
    <w:rsid w:val="005C456E"/>
    <w:rsid w:val="005C47F7"/>
    <w:rsid w:val="005C4AC1"/>
    <w:rsid w:val="005C519D"/>
    <w:rsid w:val="005C540D"/>
    <w:rsid w:val="005C55EF"/>
    <w:rsid w:val="005C5A44"/>
    <w:rsid w:val="005C5B47"/>
    <w:rsid w:val="005C6614"/>
    <w:rsid w:val="005C6641"/>
    <w:rsid w:val="005C6AA0"/>
    <w:rsid w:val="005C7302"/>
    <w:rsid w:val="005C7882"/>
    <w:rsid w:val="005C7A22"/>
    <w:rsid w:val="005D0086"/>
    <w:rsid w:val="005D07D0"/>
    <w:rsid w:val="005D0D7D"/>
    <w:rsid w:val="005D187F"/>
    <w:rsid w:val="005D1990"/>
    <w:rsid w:val="005D21A9"/>
    <w:rsid w:val="005D2682"/>
    <w:rsid w:val="005D295E"/>
    <w:rsid w:val="005D334A"/>
    <w:rsid w:val="005D348D"/>
    <w:rsid w:val="005D3B68"/>
    <w:rsid w:val="005D3D95"/>
    <w:rsid w:val="005D4829"/>
    <w:rsid w:val="005D4A73"/>
    <w:rsid w:val="005D4AD7"/>
    <w:rsid w:val="005D5526"/>
    <w:rsid w:val="005D5570"/>
    <w:rsid w:val="005D5CD3"/>
    <w:rsid w:val="005D6055"/>
    <w:rsid w:val="005D6102"/>
    <w:rsid w:val="005D6117"/>
    <w:rsid w:val="005D6539"/>
    <w:rsid w:val="005D6548"/>
    <w:rsid w:val="005D6E3A"/>
    <w:rsid w:val="005D7459"/>
    <w:rsid w:val="005E018E"/>
    <w:rsid w:val="005E20F0"/>
    <w:rsid w:val="005E315F"/>
    <w:rsid w:val="005E4359"/>
    <w:rsid w:val="005E4682"/>
    <w:rsid w:val="005E477E"/>
    <w:rsid w:val="005E571B"/>
    <w:rsid w:val="005E5F00"/>
    <w:rsid w:val="005E6170"/>
    <w:rsid w:val="005E647F"/>
    <w:rsid w:val="005E64D8"/>
    <w:rsid w:val="005E68BB"/>
    <w:rsid w:val="005E691C"/>
    <w:rsid w:val="005E77ED"/>
    <w:rsid w:val="005E78E3"/>
    <w:rsid w:val="005E78FF"/>
    <w:rsid w:val="005E7A1A"/>
    <w:rsid w:val="005F0248"/>
    <w:rsid w:val="005F0313"/>
    <w:rsid w:val="005F05A1"/>
    <w:rsid w:val="005F0A7A"/>
    <w:rsid w:val="005F1387"/>
    <w:rsid w:val="005F14F9"/>
    <w:rsid w:val="005F2D77"/>
    <w:rsid w:val="005F3191"/>
    <w:rsid w:val="005F32AC"/>
    <w:rsid w:val="005F33A0"/>
    <w:rsid w:val="005F3434"/>
    <w:rsid w:val="005F3C60"/>
    <w:rsid w:val="005F3C68"/>
    <w:rsid w:val="005F3D59"/>
    <w:rsid w:val="005F40F7"/>
    <w:rsid w:val="005F410A"/>
    <w:rsid w:val="005F4283"/>
    <w:rsid w:val="005F441B"/>
    <w:rsid w:val="005F441E"/>
    <w:rsid w:val="005F4539"/>
    <w:rsid w:val="005F45EB"/>
    <w:rsid w:val="005F48C7"/>
    <w:rsid w:val="005F5282"/>
    <w:rsid w:val="005F55BE"/>
    <w:rsid w:val="005F56D1"/>
    <w:rsid w:val="005F5A3C"/>
    <w:rsid w:val="005F62E7"/>
    <w:rsid w:val="005F6C0F"/>
    <w:rsid w:val="005F74A2"/>
    <w:rsid w:val="005F7955"/>
    <w:rsid w:val="005F7C46"/>
    <w:rsid w:val="00600B10"/>
    <w:rsid w:val="006012B3"/>
    <w:rsid w:val="0060130E"/>
    <w:rsid w:val="0060186C"/>
    <w:rsid w:val="006018DC"/>
    <w:rsid w:val="00601A3C"/>
    <w:rsid w:val="00601AD7"/>
    <w:rsid w:val="0060284F"/>
    <w:rsid w:val="00602A1E"/>
    <w:rsid w:val="006035FA"/>
    <w:rsid w:val="006037E5"/>
    <w:rsid w:val="00603BC4"/>
    <w:rsid w:val="00604C09"/>
    <w:rsid w:val="00604D27"/>
    <w:rsid w:val="006054DE"/>
    <w:rsid w:val="00605E50"/>
    <w:rsid w:val="006063D5"/>
    <w:rsid w:val="00606BEA"/>
    <w:rsid w:val="00607090"/>
    <w:rsid w:val="00607A7B"/>
    <w:rsid w:val="00607B90"/>
    <w:rsid w:val="006104F5"/>
    <w:rsid w:val="0061097A"/>
    <w:rsid w:val="00611317"/>
    <w:rsid w:val="0061143B"/>
    <w:rsid w:val="006119FF"/>
    <w:rsid w:val="00612400"/>
    <w:rsid w:val="0061256A"/>
    <w:rsid w:val="00612674"/>
    <w:rsid w:val="00612797"/>
    <w:rsid w:val="00612E32"/>
    <w:rsid w:val="006133F7"/>
    <w:rsid w:val="00613536"/>
    <w:rsid w:val="00613578"/>
    <w:rsid w:val="00613C89"/>
    <w:rsid w:val="00614144"/>
    <w:rsid w:val="0061461D"/>
    <w:rsid w:val="0061470C"/>
    <w:rsid w:val="00615231"/>
    <w:rsid w:val="00615310"/>
    <w:rsid w:val="006156D1"/>
    <w:rsid w:val="00615D88"/>
    <w:rsid w:val="00615DFD"/>
    <w:rsid w:val="00616100"/>
    <w:rsid w:val="006163B5"/>
    <w:rsid w:val="00616967"/>
    <w:rsid w:val="00616DDF"/>
    <w:rsid w:val="00616E04"/>
    <w:rsid w:val="006171FF"/>
    <w:rsid w:val="0061762E"/>
    <w:rsid w:val="00620308"/>
    <w:rsid w:val="00620690"/>
    <w:rsid w:val="00620DDC"/>
    <w:rsid w:val="006212DB"/>
    <w:rsid w:val="006216BE"/>
    <w:rsid w:val="00621B7F"/>
    <w:rsid w:val="00621BCE"/>
    <w:rsid w:val="00622631"/>
    <w:rsid w:val="00622CE6"/>
    <w:rsid w:val="00624A61"/>
    <w:rsid w:val="00624D1F"/>
    <w:rsid w:val="00624E3D"/>
    <w:rsid w:val="006252F8"/>
    <w:rsid w:val="0062584E"/>
    <w:rsid w:val="00626111"/>
    <w:rsid w:val="00626363"/>
    <w:rsid w:val="006265E3"/>
    <w:rsid w:val="0062743C"/>
    <w:rsid w:val="00627C0A"/>
    <w:rsid w:val="00627D10"/>
    <w:rsid w:val="00627FAD"/>
    <w:rsid w:val="0063060C"/>
    <w:rsid w:val="00631060"/>
    <w:rsid w:val="006312D2"/>
    <w:rsid w:val="00631349"/>
    <w:rsid w:val="00631742"/>
    <w:rsid w:val="00631F42"/>
    <w:rsid w:val="0063213E"/>
    <w:rsid w:val="00632397"/>
    <w:rsid w:val="00632868"/>
    <w:rsid w:val="006328D8"/>
    <w:rsid w:val="00632AE6"/>
    <w:rsid w:val="00632C6E"/>
    <w:rsid w:val="00633289"/>
    <w:rsid w:val="00633611"/>
    <w:rsid w:val="006339A9"/>
    <w:rsid w:val="006339D2"/>
    <w:rsid w:val="00633E8B"/>
    <w:rsid w:val="00634A4F"/>
    <w:rsid w:val="006357FE"/>
    <w:rsid w:val="006358FE"/>
    <w:rsid w:val="006359BF"/>
    <w:rsid w:val="00635D33"/>
    <w:rsid w:val="00635EF9"/>
    <w:rsid w:val="00635F24"/>
    <w:rsid w:val="00635F30"/>
    <w:rsid w:val="00636004"/>
    <w:rsid w:val="006365E7"/>
    <w:rsid w:val="00636680"/>
    <w:rsid w:val="00636A77"/>
    <w:rsid w:val="00636B41"/>
    <w:rsid w:val="00636CF5"/>
    <w:rsid w:val="00636E9E"/>
    <w:rsid w:val="006371EB"/>
    <w:rsid w:val="006373E1"/>
    <w:rsid w:val="006404E9"/>
    <w:rsid w:val="00640537"/>
    <w:rsid w:val="00640D50"/>
    <w:rsid w:val="00640E5B"/>
    <w:rsid w:val="00641273"/>
    <w:rsid w:val="00641598"/>
    <w:rsid w:val="00642AA3"/>
    <w:rsid w:val="00642E2E"/>
    <w:rsid w:val="006436FC"/>
    <w:rsid w:val="006437B3"/>
    <w:rsid w:val="00644219"/>
    <w:rsid w:val="00644285"/>
    <w:rsid w:val="006443BD"/>
    <w:rsid w:val="00644A9C"/>
    <w:rsid w:val="00644EB6"/>
    <w:rsid w:val="00644EC7"/>
    <w:rsid w:val="00645634"/>
    <w:rsid w:val="0064563D"/>
    <w:rsid w:val="006457F2"/>
    <w:rsid w:val="0064617E"/>
    <w:rsid w:val="00646422"/>
    <w:rsid w:val="00646AC1"/>
    <w:rsid w:val="006474FD"/>
    <w:rsid w:val="00647874"/>
    <w:rsid w:val="006500EA"/>
    <w:rsid w:val="00650CC1"/>
    <w:rsid w:val="00650DD5"/>
    <w:rsid w:val="00650FE7"/>
    <w:rsid w:val="00651257"/>
    <w:rsid w:val="006513EA"/>
    <w:rsid w:val="00651AA0"/>
    <w:rsid w:val="006520DE"/>
    <w:rsid w:val="00652E84"/>
    <w:rsid w:val="00654254"/>
    <w:rsid w:val="006542E6"/>
    <w:rsid w:val="006544E2"/>
    <w:rsid w:val="00654938"/>
    <w:rsid w:val="006551FE"/>
    <w:rsid w:val="00655EE0"/>
    <w:rsid w:val="00655F48"/>
    <w:rsid w:val="00655FFE"/>
    <w:rsid w:val="00656419"/>
    <w:rsid w:val="006564BD"/>
    <w:rsid w:val="00656916"/>
    <w:rsid w:val="00656D91"/>
    <w:rsid w:val="00656F76"/>
    <w:rsid w:val="0065737E"/>
    <w:rsid w:val="00657569"/>
    <w:rsid w:val="00657724"/>
    <w:rsid w:val="0066084B"/>
    <w:rsid w:val="00660AAD"/>
    <w:rsid w:val="0066177B"/>
    <w:rsid w:val="006618A4"/>
    <w:rsid w:val="00661951"/>
    <w:rsid w:val="00661F4D"/>
    <w:rsid w:val="006622AE"/>
    <w:rsid w:val="006633E3"/>
    <w:rsid w:val="00663420"/>
    <w:rsid w:val="006637BF"/>
    <w:rsid w:val="00663852"/>
    <w:rsid w:val="00663939"/>
    <w:rsid w:val="0066437C"/>
    <w:rsid w:val="00664387"/>
    <w:rsid w:val="0066493B"/>
    <w:rsid w:val="006657FC"/>
    <w:rsid w:val="00665928"/>
    <w:rsid w:val="00665A20"/>
    <w:rsid w:val="00665D3F"/>
    <w:rsid w:val="00665DF1"/>
    <w:rsid w:val="00665F97"/>
    <w:rsid w:val="00666699"/>
    <w:rsid w:val="00667434"/>
    <w:rsid w:val="006677C2"/>
    <w:rsid w:val="00667D2E"/>
    <w:rsid w:val="00670294"/>
    <w:rsid w:val="00670841"/>
    <w:rsid w:val="00670B9D"/>
    <w:rsid w:val="006717BD"/>
    <w:rsid w:val="00671A37"/>
    <w:rsid w:val="0067218B"/>
    <w:rsid w:val="006724D4"/>
    <w:rsid w:val="006726C8"/>
    <w:rsid w:val="00672733"/>
    <w:rsid w:val="006729A4"/>
    <w:rsid w:val="00672FA5"/>
    <w:rsid w:val="00673ADF"/>
    <w:rsid w:val="00673C39"/>
    <w:rsid w:val="00674BD9"/>
    <w:rsid w:val="00674D4D"/>
    <w:rsid w:val="00674F7A"/>
    <w:rsid w:val="00674FA0"/>
    <w:rsid w:val="0067510C"/>
    <w:rsid w:val="00675EB2"/>
    <w:rsid w:val="00676C97"/>
    <w:rsid w:val="00676D63"/>
    <w:rsid w:val="00677A32"/>
    <w:rsid w:val="00677BE8"/>
    <w:rsid w:val="006803C1"/>
    <w:rsid w:val="00680CB7"/>
    <w:rsid w:val="00681077"/>
    <w:rsid w:val="0068134C"/>
    <w:rsid w:val="00681529"/>
    <w:rsid w:val="00681AE9"/>
    <w:rsid w:val="00681FC8"/>
    <w:rsid w:val="00682014"/>
    <w:rsid w:val="006824D7"/>
    <w:rsid w:val="00682CE5"/>
    <w:rsid w:val="006840B1"/>
    <w:rsid w:val="00684741"/>
    <w:rsid w:val="00684765"/>
    <w:rsid w:val="0068499A"/>
    <w:rsid w:val="0068514E"/>
    <w:rsid w:val="006851F4"/>
    <w:rsid w:val="00685700"/>
    <w:rsid w:val="00685CD9"/>
    <w:rsid w:val="00686ABF"/>
    <w:rsid w:val="006870AE"/>
    <w:rsid w:val="006875E0"/>
    <w:rsid w:val="00687719"/>
    <w:rsid w:val="00687FCE"/>
    <w:rsid w:val="006903F2"/>
    <w:rsid w:val="00690621"/>
    <w:rsid w:val="006906EC"/>
    <w:rsid w:val="006907B5"/>
    <w:rsid w:val="00690ACB"/>
    <w:rsid w:val="00690D81"/>
    <w:rsid w:val="00690F9B"/>
    <w:rsid w:val="0069113E"/>
    <w:rsid w:val="006912C2"/>
    <w:rsid w:val="0069130C"/>
    <w:rsid w:val="00691425"/>
    <w:rsid w:val="00691A40"/>
    <w:rsid w:val="00691F61"/>
    <w:rsid w:val="00692540"/>
    <w:rsid w:val="006928DC"/>
    <w:rsid w:val="00693462"/>
    <w:rsid w:val="006938E5"/>
    <w:rsid w:val="00694309"/>
    <w:rsid w:val="006947F0"/>
    <w:rsid w:val="00694AAD"/>
    <w:rsid w:val="00694DC0"/>
    <w:rsid w:val="00694E0B"/>
    <w:rsid w:val="00695833"/>
    <w:rsid w:val="00695F5F"/>
    <w:rsid w:val="0069605A"/>
    <w:rsid w:val="006965AF"/>
    <w:rsid w:val="00696AEC"/>
    <w:rsid w:val="00696B1F"/>
    <w:rsid w:val="00696BA1"/>
    <w:rsid w:val="00697057"/>
    <w:rsid w:val="006972A3"/>
    <w:rsid w:val="00697907"/>
    <w:rsid w:val="006A0399"/>
    <w:rsid w:val="006A0694"/>
    <w:rsid w:val="006A075F"/>
    <w:rsid w:val="006A0C9E"/>
    <w:rsid w:val="006A145D"/>
    <w:rsid w:val="006A1712"/>
    <w:rsid w:val="006A1A72"/>
    <w:rsid w:val="006A1CAF"/>
    <w:rsid w:val="006A1FFE"/>
    <w:rsid w:val="006A2073"/>
    <w:rsid w:val="006A28AA"/>
    <w:rsid w:val="006A2A12"/>
    <w:rsid w:val="006A2AB7"/>
    <w:rsid w:val="006A2F02"/>
    <w:rsid w:val="006A33E9"/>
    <w:rsid w:val="006A36C0"/>
    <w:rsid w:val="006A377F"/>
    <w:rsid w:val="006A3839"/>
    <w:rsid w:val="006A39B2"/>
    <w:rsid w:val="006A3C7D"/>
    <w:rsid w:val="006A3DBF"/>
    <w:rsid w:val="006A451A"/>
    <w:rsid w:val="006A46FA"/>
    <w:rsid w:val="006A4BEF"/>
    <w:rsid w:val="006A4D2D"/>
    <w:rsid w:val="006A4F71"/>
    <w:rsid w:val="006A503F"/>
    <w:rsid w:val="006A5326"/>
    <w:rsid w:val="006A5B81"/>
    <w:rsid w:val="006A6204"/>
    <w:rsid w:val="006A624F"/>
    <w:rsid w:val="006A637F"/>
    <w:rsid w:val="006A6458"/>
    <w:rsid w:val="006A68A0"/>
    <w:rsid w:val="006A69E1"/>
    <w:rsid w:val="006A6AC6"/>
    <w:rsid w:val="006A75E3"/>
    <w:rsid w:val="006A79D6"/>
    <w:rsid w:val="006A7B3C"/>
    <w:rsid w:val="006A7C6F"/>
    <w:rsid w:val="006B03E3"/>
    <w:rsid w:val="006B10B7"/>
    <w:rsid w:val="006B1490"/>
    <w:rsid w:val="006B1FBD"/>
    <w:rsid w:val="006B357F"/>
    <w:rsid w:val="006B38F2"/>
    <w:rsid w:val="006B405B"/>
    <w:rsid w:val="006B4C44"/>
    <w:rsid w:val="006B4CED"/>
    <w:rsid w:val="006B5538"/>
    <w:rsid w:val="006B55A0"/>
    <w:rsid w:val="006B564C"/>
    <w:rsid w:val="006B5BBF"/>
    <w:rsid w:val="006B66F2"/>
    <w:rsid w:val="006B7F49"/>
    <w:rsid w:val="006C0940"/>
    <w:rsid w:val="006C0E8E"/>
    <w:rsid w:val="006C1858"/>
    <w:rsid w:val="006C24A6"/>
    <w:rsid w:val="006C27CF"/>
    <w:rsid w:val="006C331B"/>
    <w:rsid w:val="006C3D18"/>
    <w:rsid w:val="006C3ED8"/>
    <w:rsid w:val="006C3F47"/>
    <w:rsid w:val="006C41BB"/>
    <w:rsid w:val="006C44E0"/>
    <w:rsid w:val="006C51AF"/>
    <w:rsid w:val="006C559B"/>
    <w:rsid w:val="006C6B99"/>
    <w:rsid w:val="006C6BEC"/>
    <w:rsid w:val="006C6DE4"/>
    <w:rsid w:val="006C73A9"/>
    <w:rsid w:val="006D001C"/>
    <w:rsid w:val="006D04B8"/>
    <w:rsid w:val="006D084A"/>
    <w:rsid w:val="006D1423"/>
    <w:rsid w:val="006D16EF"/>
    <w:rsid w:val="006D170A"/>
    <w:rsid w:val="006D1716"/>
    <w:rsid w:val="006D200D"/>
    <w:rsid w:val="006D20CF"/>
    <w:rsid w:val="006D2329"/>
    <w:rsid w:val="006D24B4"/>
    <w:rsid w:val="006D27E1"/>
    <w:rsid w:val="006D3531"/>
    <w:rsid w:val="006D36DD"/>
    <w:rsid w:val="006D3930"/>
    <w:rsid w:val="006D3E17"/>
    <w:rsid w:val="006D3F7E"/>
    <w:rsid w:val="006D42CA"/>
    <w:rsid w:val="006D48CA"/>
    <w:rsid w:val="006D4918"/>
    <w:rsid w:val="006D4ABB"/>
    <w:rsid w:val="006D52AB"/>
    <w:rsid w:val="006D53F2"/>
    <w:rsid w:val="006D5505"/>
    <w:rsid w:val="006D6CB3"/>
    <w:rsid w:val="006D7C53"/>
    <w:rsid w:val="006D7CB6"/>
    <w:rsid w:val="006E001E"/>
    <w:rsid w:val="006E0041"/>
    <w:rsid w:val="006E0227"/>
    <w:rsid w:val="006E0497"/>
    <w:rsid w:val="006E0790"/>
    <w:rsid w:val="006E0BF7"/>
    <w:rsid w:val="006E1717"/>
    <w:rsid w:val="006E1CB9"/>
    <w:rsid w:val="006E23CD"/>
    <w:rsid w:val="006E34B7"/>
    <w:rsid w:val="006E3A3E"/>
    <w:rsid w:val="006E3DEB"/>
    <w:rsid w:val="006E3E09"/>
    <w:rsid w:val="006E42F9"/>
    <w:rsid w:val="006E430D"/>
    <w:rsid w:val="006E4530"/>
    <w:rsid w:val="006E4CC3"/>
    <w:rsid w:val="006E5757"/>
    <w:rsid w:val="006E5DF1"/>
    <w:rsid w:val="006E628B"/>
    <w:rsid w:val="006E741B"/>
    <w:rsid w:val="006E79F3"/>
    <w:rsid w:val="006E7C97"/>
    <w:rsid w:val="006E7CC1"/>
    <w:rsid w:val="006E7DB1"/>
    <w:rsid w:val="006E7FD2"/>
    <w:rsid w:val="006F0835"/>
    <w:rsid w:val="006F0AEA"/>
    <w:rsid w:val="006F15D0"/>
    <w:rsid w:val="006F192A"/>
    <w:rsid w:val="006F2538"/>
    <w:rsid w:val="006F2607"/>
    <w:rsid w:val="006F2767"/>
    <w:rsid w:val="006F2886"/>
    <w:rsid w:val="006F3464"/>
    <w:rsid w:val="006F3683"/>
    <w:rsid w:val="006F37CF"/>
    <w:rsid w:val="006F3B08"/>
    <w:rsid w:val="006F43AF"/>
    <w:rsid w:val="006F4C74"/>
    <w:rsid w:val="006F50C7"/>
    <w:rsid w:val="006F578A"/>
    <w:rsid w:val="006F5AB4"/>
    <w:rsid w:val="006F5AE3"/>
    <w:rsid w:val="006F6740"/>
    <w:rsid w:val="006F6D72"/>
    <w:rsid w:val="006F6FCA"/>
    <w:rsid w:val="006F7583"/>
    <w:rsid w:val="006F797D"/>
    <w:rsid w:val="006F7E3B"/>
    <w:rsid w:val="007000C0"/>
    <w:rsid w:val="007007A4"/>
    <w:rsid w:val="00700D21"/>
    <w:rsid w:val="00700E6B"/>
    <w:rsid w:val="0070176A"/>
    <w:rsid w:val="00701901"/>
    <w:rsid w:val="00701B81"/>
    <w:rsid w:val="00701C37"/>
    <w:rsid w:val="00702434"/>
    <w:rsid w:val="00702BD1"/>
    <w:rsid w:val="00702FC9"/>
    <w:rsid w:val="00703659"/>
    <w:rsid w:val="00703891"/>
    <w:rsid w:val="007039C7"/>
    <w:rsid w:val="00703A2A"/>
    <w:rsid w:val="00703EBA"/>
    <w:rsid w:val="0070478D"/>
    <w:rsid w:val="00705060"/>
    <w:rsid w:val="007055E4"/>
    <w:rsid w:val="00705720"/>
    <w:rsid w:val="00706A21"/>
    <w:rsid w:val="00706D39"/>
    <w:rsid w:val="00706D6C"/>
    <w:rsid w:val="00707007"/>
    <w:rsid w:val="0070719F"/>
    <w:rsid w:val="007075D8"/>
    <w:rsid w:val="007079F9"/>
    <w:rsid w:val="00707EBD"/>
    <w:rsid w:val="00710069"/>
    <w:rsid w:val="007102CC"/>
    <w:rsid w:val="00710ADE"/>
    <w:rsid w:val="007111DC"/>
    <w:rsid w:val="00711A8B"/>
    <w:rsid w:val="0071210B"/>
    <w:rsid w:val="0071214E"/>
    <w:rsid w:val="007125D0"/>
    <w:rsid w:val="007127D1"/>
    <w:rsid w:val="00712C5A"/>
    <w:rsid w:val="00713132"/>
    <w:rsid w:val="00714A50"/>
    <w:rsid w:val="00714B85"/>
    <w:rsid w:val="0071554E"/>
    <w:rsid w:val="00715CD6"/>
    <w:rsid w:val="00715FAD"/>
    <w:rsid w:val="00716512"/>
    <w:rsid w:val="0071673D"/>
    <w:rsid w:val="00716B09"/>
    <w:rsid w:val="00716D26"/>
    <w:rsid w:val="00717665"/>
    <w:rsid w:val="007176EE"/>
    <w:rsid w:val="00717883"/>
    <w:rsid w:val="007178C7"/>
    <w:rsid w:val="00717D7A"/>
    <w:rsid w:val="00717F2C"/>
    <w:rsid w:val="00717FBB"/>
    <w:rsid w:val="00720222"/>
    <w:rsid w:val="00720731"/>
    <w:rsid w:val="007208A1"/>
    <w:rsid w:val="007208AB"/>
    <w:rsid w:val="007210D3"/>
    <w:rsid w:val="0072182E"/>
    <w:rsid w:val="007225C3"/>
    <w:rsid w:val="00722E44"/>
    <w:rsid w:val="007233F5"/>
    <w:rsid w:val="0072365E"/>
    <w:rsid w:val="00723CFD"/>
    <w:rsid w:val="00724362"/>
    <w:rsid w:val="007248DC"/>
    <w:rsid w:val="00724EE3"/>
    <w:rsid w:val="00724F0D"/>
    <w:rsid w:val="00724F35"/>
    <w:rsid w:val="007254A1"/>
    <w:rsid w:val="00725AAB"/>
    <w:rsid w:val="0072610C"/>
    <w:rsid w:val="0072649C"/>
    <w:rsid w:val="0072650C"/>
    <w:rsid w:val="00726D8A"/>
    <w:rsid w:val="0072729F"/>
    <w:rsid w:val="007275C6"/>
    <w:rsid w:val="0072777C"/>
    <w:rsid w:val="0072794C"/>
    <w:rsid w:val="00727959"/>
    <w:rsid w:val="00727BCF"/>
    <w:rsid w:val="00727F7F"/>
    <w:rsid w:val="0073017F"/>
    <w:rsid w:val="007302D7"/>
    <w:rsid w:val="007303BC"/>
    <w:rsid w:val="007319EA"/>
    <w:rsid w:val="00731D6D"/>
    <w:rsid w:val="00731F70"/>
    <w:rsid w:val="00731FC1"/>
    <w:rsid w:val="00731FE3"/>
    <w:rsid w:val="0073294B"/>
    <w:rsid w:val="00732D7B"/>
    <w:rsid w:val="0073339C"/>
    <w:rsid w:val="00733CEA"/>
    <w:rsid w:val="00734209"/>
    <w:rsid w:val="007342C7"/>
    <w:rsid w:val="0073514D"/>
    <w:rsid w:val="00735553"/>
    <w:rsid w:val="00735A1C"/>
    <w:rsid w:val="00735A8A"/>
    <w:rsid w:val="00735CF2"/>
    <w:rsid w:val="00735D67"/>
    <w:rsid w:val="00736AC6"/>
    <w:rsid w:val="00736FA0"/>
    <w:rsid w:val="00737324"/>
    <w:rsid w:val="007373D0"/>
    <w:rsid w:val="0073740F"/>
    <w:rsid w:val="007374BC"/>
    <w:rsid w:val="00737A75"/>
    <w:rsid w:val="0074044B"/>
    <w:rsid w:val="007408D8"/>
    <w:rsid w:val="00740B58"/>
    <w:rsid w:val="007415D8"/>
    <w:rsid w:val="0074185F"/>
    <w:rsid w:val="007423FE"/>
    <w:rsid w:val="0074332F"/>
    <w:rsid w:val="00743594"/>
    <w:rsid w:val="00743ECF"/>
    <w:rsid w:val="00743FDC"/>
    <w:rsid w:val="007441FD"/>
    <w:rsid w:val="00744592"/>
    <w:rsid w:val="00744597"/>
    <w:rsid w:val="0074483A"/>
    <w:rsid w:val="00744CC9"/>
    <w:rsid w:val="00744E53"/>
    <w:rsid w:val="00744E90"/>
    <w:rsid w:val="00744EB3"/>
    <w:rsid w:val="00745153"/>
    <w:rsid w:val="0074555E"/>
    <w:rsid w:val="00745DDD"/>
    <w:rsid w:val="007466C1"/>
    <w:rsid w:val="007466E2"/>
    <w:rsid w:val="00746737"/>
    <w:rsid w:val="00746974"/>
    <w:rsid w:val="007469B6"/>
    <w:rsid w:val="00746E8F"/>
    <w:rsid w:val="007473C5"/>
    <w:rsid w:val="00747776"/>
    <w:rsid w:val="00747FF7"/>
    <w:rsid w:val="0075000C"/>
    <w:rsid w:val="007505F6"/>
    <w:rsid w:val="007510F0"/>
    <w:rsid w:val="0075148E"/>
    <w:rsid w:val="007518F2"/>
    <w:rsid w:val="007521C3"/>
    <w:rsid w:val="007522A6"/>
    <w:rsid w:val="00752490"/>
    <w:rsid w:val="00752901"/>
    <w:rsid w:val="0075299D"/>
    <w:rsid w:val="0075447F"/>
    <w:rsid w:val="007545E8"/>
    <w:rsid w:val="00754D67"/>
    <w:rsid w:val="007550D5"/>
    <w:rsid w:val="0075533F"/>
    <w:rsid w:val="0075560D"/>
    <w:rsid w:val="0075593C"/>
    <w:rsid w:val="00755966"/>
    <w:rsid w:val="007559C5"/>
    <w:rsid w:val="00755C96"/>
    <w:rsid w:val="00755FF2"/>
    <w:rsid w:val="00756238"/>
    <w:rsid w:val="007564E1"/>
    <w:rsid w:val="00756A45"/>
    <w:rsid w:val="00756D83"/>
    <w:rsid w:val="00757962"/>
    <w:rsid w:val="00757A4E"/>
    <w:rsid w:val="00757B66"/>
    <w:rsid w:val="00757FE9"/>
    <w:rsid w:val="00757FF8"/>
    <w:rsid w:val="00760BAC"/>
    <w:rsid w:val="00760CD4"/>
    <w:rsid w:val="00760FB1"/>
    <w:rsid w:val="0076174B"/>
    <w:rsid w:val="007629F7"/>
    <w:rsid w:val="00762BB8"/>
    <w:rsid w:val="00762EE7"/>
    <w:rsid w:val="0076460B"/>
    <w:rsid w:val="00764939"/>
    <w:rsid w:val="00764A54"/>
    <w:rsid w:val="00764A6D"/>
    <w:rsid w:val="00764C78"/>
    <w:rsid w:val="00764D34"/>
    <w:rsid w:val="00764E83"/>
    <w:rsid w:val="00766E01"/>
    <w:rsid w:val="0076719E"/>
    <w:rsid w:val="00767221"/>
    <w:rsid w:val="00767558"/>
    <w:rsid w:val="00767707"/>
    <w:rsid w:val="00767A50"/>
    <w:rsid w:val="0077001C"/>
    <w:rsid w:val="007704B1"/>
    <w:rsid w:val="007707AF"/>
    <w:rsid w:val="00770AF0"/>
    <w:rsid w:val="00770B6D"/>
    <w:rsid w:val="00770EB8"/>
    <w:rsid w:val="00771103"/>
    <w:rsid w:val="007715A4"/>
    <w:rsid w:val="0077184B"/>
    <w:rsid w:val="007718E2"/>
    <w:rsid w:val="00771DE5"/>
    <w:rsid w:val="0077227C"/>
    <w:rsid w:val="007724DB"/>
    <w:rsid w:val="0077251F"/>
    <w:rsid w:val="00772A24"/>
    <w:rsid w:val="00772B2E"/>
    <w:rsid w:val="00773006"/>
    <w:rsid w:val="00773548"/>
    <w:rsid w:val="00773551"/>
    <w:rsid w:val="00773AAB"/>
    <w:rsid w:val="00773DB8"/>
    <w:rsid w:val="00774058"/>
    <w:rsid w:val="00774261"/>
    <w:rsid w:val="0077436F"/>
    <w:rsid w:val="00774739"/>
    <w:rsid w:val="0077537E"/>
    <w:rsid w:val="007757BD"/>
    <w:rsid w:val="007759DB"/>
    <w:rsid w:val="00775C54"/>
    <w:rsid w:val="00775DE5"/>
    <w:rsid w:val="00776075"/>
    <w:rsid w:val="007762A1"/>
    <w:rsid w:val="00776D21"/>
    <w:rsid w:val="00776ED8"/>
    <w:rsid w:val="007772CE"/>
    <w:rsid w:val="007776C7"/>
    <w:rsid w:val="00780391"/>
    <w:rsid w:val="00780443"/>
    <w:rsid w:val="00780835"/>
    <w:rsid w:val="00780C64"/>
    <w:rsid w:val="00780EE2"/>
    <w:rsid w:val="00781B8D"/>
    <w:rsid w:val="00781E7B"/>
    <w:rsid w:val="0078206C"/>
    <w:rsid w:val="00782227"/>
    <w:rsid w:val="00782320"/>
    <w:rsid w:val="00782D41"/>
    <w:rsid w:val="007830EA"/>
    <w:rsid w:val="00783A4B"/>
    <w:rsid w:val="00783B1B"/>
    <w:rsid w:val="00784090"/>
    <w:rsid w:val="00784138"/>
    <w:rsid w:val="00785293"/>
    <w:rsid w:val="007854D2"/>
    <w:rsid w:val="00785921"/>
    <w:rsid w:val="00785F2B"/>
    <w:rsid w:val="00786289"/>
    <w:rsid w:val="007864A9"/>
    <w:rsid w:val="007866CD"/>
    <w:rsid w:val="00787BC9"/>
    <w:rsid w:val="00787BD5"/>
    <w:rsid w:val="00787F20"/>
    <w:rsid w:val="007900A3"/>
    <w:rsid w:val="007902EA"/>
    <w:rsid w:val="0079089A"/>
    <w:rsid w:val="00790A6F"/>
    <w:rsid w:val="00790ACD"/>
    <w:rsid w:val="00790C60"/>
    <w:rsid w:val="0079140A"/>
    <w:rsid w:val="00791BBE"/>
    <w:rsid w:val="0079223E"/>
    <w:rsid w:val="00792A2D"/>
    <w:rsid w:val="00792F8E"/>
    <w:rsid w:val="007936F9"/>
    <w:rsid w:val="00794023"/>
    <w:rsid w:val="00794163"/>
    <w:rsid w:val="007944C0"/>
    <w:rsid w:val="00794619"/>
    <w:rsid w:val="007948FE"/>
    <w:rsid w:val="00794B42"/>
    <w:rsid w:val="00795344"/>
    <w:rsid w:val="00795644"/>
    <w:rsid w:val="00795CE7"/>
    <w:rsid w:val="007966AB"/>
    <w:rsid w:val="00796B5C"/>
    <w:rsid w:val="00796BF0"/>
    <w:rsid w:val="00796C15"/>
    <w:rsid w:val="00796ED9"/>
    <w:rsid w:val="00797520"/>
    <w:rsid w:val="00797FA8"/>
    <w:rsid w:val="00797FC7"/>
    <w:rsid w:val="007A0B15"/>
    <w:rsid w:val="007A0E12"/>
    <w:rsid w:val="007A0E13"/>
    <w:rsid w:val="007A1017"/>
    <w:rsid w:val="007A174B"/>
    <w:rsid w:val="007A1A14"/>
    <w:rsid w:val="007A20B6"/>
    <w:rsid w:val="007A2519"/>
    <w:rsid w:val="007A2C2C"/>
    <w:rsid w:val="007A2EC8"/>
    <w:rsid w:val="007A320A"/>
    <w:rsid w:val="007A3614"/>
    <w:rsid w:val="007A3DDA"/>
    <w:rsid w:val="007A3E61"/>
    <w:rsid w:val="007A5AF9"/>
    <w:rsid w:val="007A5D63"/>
    <w:rsid w:val="007A622F"/>
    <w:rsid w:val="007A6AC3"/>
    <w:rsid w:val="007A6C5F"/>
    <w:rsid w:val="007A7019"/>
    <w:rsid w:val="007A7481"/>
    <w:rsid w:val="007A765A"/>
    <w:rsid w:val="007A76CD"/>
    <w:rsid w:val="007A791C"/>
    <w:rsid w:val="007A79D6"/>
    <w:rsid w:val="007A7E28"/>
    <w:rsid w:val="007A7EB9"/>
    <w:rsid w:val="007B0F14"/>
    <w:rsid w:val="007B1537"/>
    <w:rsid w:val="007B1549"/>
    <w:rsid w:val="007B1C36"/>
    <w:rsid w:val="007B24C2"/>
    <w:rsid w:val="007B28BF"/>
    <w:rsid w:val="007B2AC5"/>
    <w:rsid w:val="007B2F65"/>
    <w:rsid w:val="007B2FCD"/>
    <w:rsid w:val="007B31A3"/>
    <w:rsid w:val="007B3AAE"/>
    <w:rsid w:val="007B4168"/>
    <w:rsid w:val="007B4632"/>
    <w:rsid w:val="007B546F"/>
    <w:rsid w:val="007B5810"/>
    <w:rsid w:val="007B68FD"/>
    <w:rsid w:val="007B6BA6"/>
    <w:rsid w:val="007B6F00"/>
    <w:rsid w:val="007B787C"/>
    <w:rsid w:val="007C0937"/>
    <w:rsid w:val="007C1746"/>
    <w:rsid w:val="007C1CB6"/>
    <w:rsid w:val="007C1E40"/>
    <w:rsid w:val="007C1F30"/>
    <w:rsid w:val="007C21BC"/>
    <w:rsid w:val="007C25B1"/>
    <w:rsid w:val="007C2611"/>
    <w:rsid w:val="007C2660"/>
    <w:rsid w:val="007C26A5"/>
    <w:rsid w:val="007C27D1"/>
    <w:rsid w:val="007C2AC2"/>
    <w:rsid w:val="007C2AE7"/>
    <w:rsid w:val="007C377C"/>
    <w:rsid w:val="007C47E5"/>
    <w:rsid w:val="007C4FE9"/>
    <w:rsid w:val="007C521A"/>
    <w:rsid w:val="007C52D7"/>
    <w:rsid w:val="007C5B72"/>
    <w:rsid w:val="007C6233"/>
    <w:rsid w:val="007C6397"/>
    <w:rsid w:val="007C74DD"/>
    <w:rsid w:val="007C76B1"/>
    <w:rsid w:val="007C7D7A"/>
    <w:rsid w:val="007D0082"/>
    <w:rsid w:val="007D0F59"/>
    <w:rsid w:val="007D12C1"/>
    <w:rsid w:val="007D13C2"/>
    <w:rsid w:val="007D1546"/>
    <w:rsid w:val="007D17E3"/>
    <w:rsid w:val="007D1AEA"/>
    <w:rsid w:val="007D2084"/>
    <w:rsid w:val="007D3F5B"/>
    <w:rsid w:val="007D4388"/>
    <w:rsid w:val="007D4ADA"/>
    <w:rsid w:val="007D4F07"/>
    <w:rsid w:val="007D5E13"/>
    <w:rsid w:val="007D606B"/>
    <w:rsid w:val="007D632A"/>
    <w:rsid w:val="007D6369"/>
    <w:rsid w:val="007D675C"/>
    <w:rsid w:val="007D6B45"/>
    <w:rsid w:val="007D7239"/>
    <w:rsid w:val="007D7B7C"/>
    <w:rsid w:val="007D7C5D"/>
    <w:rsid w:val="007D7F3C"/>
    <w:rsid w:val="007E0893"/>
    <w:rsid w:val="007E16E4"/>
    <w:rsid w:val="007E1BDD"/>
    <w:rsid w:val="007E1C32"/>
    <w:rsid w:val="007E2210"/>
    <w:rsid w:val="007E2772"/>
    <w:rsid w:val="007E2F85"/>
    <w:rsid w:val="007E36AD"/>
    <w:rsid w:val="007E383B"/>
    <w:rsid w:val="007E3E3E"/>
    <w:rsid w:val="007E4AC7"/>
    <w:rsid w:val="007E4E5E"/>
    <w:rsid w:val="007E5069"/>
    <w:rsid w:val="007E5473"/>
    <w:rsid w:val="007E5C89"/>
    <w:rsid w:val="007E5F4C"/>
    <w:rsid w:val="007E6015"/>
    <w:rsid w:val="007E679D"/>
    <w:rsid w:val="007E6840"/>
    <w:rsid w:val="007E72C9"/>
    <w:rsid w:val="007E766C"/>
    <w:rsid w:val="007E7C00"/>
    <w:rsid w:val="007F0545"/>
    <w:rsid w:val="007F07BA"/>
    <w:rsid w:val="007F0A58"/>
    <w:rsid w:val="007F0D75"/>
    <w:rsid w:val="007F1FEA"/>
    <w:rsid w:val="007F2388"/>
    <w:rsid w:val="007F26B5"/>
    <w:rsid w:val="007F26FA"/>
    <w:rsid w:val="007F2A6D"/>
    <w:rsid w:val="007F373A"/>
    <w:rsid w:val="007F3ACD"/>
    <w:rsid w:val="007F3BBA"/>
    <w:rsid w:val="007F3BE1"/>
    <w:rsid w:val="007F4011"/>
    <w:rsid w:val="007F4045"/>
    <w:rsid w:val="007F423F"/>
    <w:rsid w:val="007F42EC"/>
    <w:rsid w:val="007F44DA"/>
    <w:rsid w:val="007F45DE"/>
    <w:rsid w:val="007F4A82"/>
    <w:rsid w:val="007F4B5B"/>
    <w:rsid w:val="007F4BAC"/>
    <w:rsid w:val="007F58C6"/>
    <w:rsid w:val="007F58F8"/>
    <w:rsid w:val="007F59CE"/>
    <w:rsid w:val="007F5BB6"/>
    <w:rsid w:val="007F655E"/>
    <w:rsid w:val="007F6E18"/>
    <w:rsid w:val="007F746B"/>
    <w:rsid w:val="007F7A4A"/>
    <w:rsid w:val="007F7E46"/>
    <w:rsid w:val="0080004E"/>
    <w:rsid w:val="008002B7"/>
    <w:rsid w:val="00800796"/>
    <w:rsid w:val="008012EA"/>
    <w:rsid w:val="00801382"/>
    <w:rsid w:val="0080149C"/>
    <w:rsid w:val="008020EF"/>
    <w:rsid w:val="0080235B"/>
    <w:rsid w:val="00803FA0"/>
    <w:rsid w:val="00804677"/>
    <w:rsid w:val="0080484F"/>
    <w:rsid w:val="00805004"/>
    <w:rsid w:val="00805143"/>
    <w:rsid w:val="00805812"/>
    <w:rsid w:val="00805D65"/>
    <w:rsid w:val="00805E00"/>
    <w:rsid w:val="008061AC"/>
    <w:rsid w:val="008062D1"/>
    <w:rsid w:val="00806F59"/>
    <w:rsid w:val="0080726D"/>
    <w:rsid w:val="00807526"/>
    <w:rsid w:val="00807DF8"/>
    <w:rsid w:val="00807FF6"/>
    <w:rsid w:val="00810050"/>
    <w:rsid w:val="008107C1"/>
    <w:rsid w:val="00810969"/>
    <w:rsid w:val="00810AE4"/>
    <w:rsid w:val="00810EC2"/>
    <w:rsid w:val="00811229"/>
    <w:rsid w:val="008112C2"/>
    <w:rsid w:val="00811AFA"/>
    <w:rsid w:val="00811CD4"/>
    <w:rsid w:val="008121EF"/>
    <w:rsid w:val="00812F96"/>
    <w:rsid w:val="0081319A"/>
    <w:rsid w:val="0081320C"/>
    <w:rsid w:val="0081396A"/>
    <w:rsid w:val="00813B9E"/>
    <w:rsid w:val="00813CBF"/>
    <w:rsid w:val="008143C7"/>
    <w:rsid w:val="00814620"/>
    <w:rsid w:val="00814655"/>
    <w:rsid w:val="008149BE"/>
    <w:rsid w:val="00814A3E"/>
    <w:rsid w:val="00814BFA"/>
    <w:rsid w:val="00814D10"/>
    <w:rsid w:val="00815192"/>
    <w:rsid w:val="00815D57"/>
    <w:rsid w:val="00815E46"/>
    <w:rsid w:val="00816132"/>
    <w:rsid w:val="008175E2"/>
    <w:rsid w:val="00817720"/>
    <w:rsid w:val="0081778D"/>
    <w:rsid w:val="00820A80"/>
    <w:rsid w:val="00820E5E"/>
    <w:rsid w:val="00821173"/>
    <w:rsid w:val="00821BA4"/>
    <w:rsid w:val="00821FE7"/>
    <w:rsid w:val="00822086"/>
    <w:rsid w:val="008225EB"/>
    <w:rsid w:val="0082293F"/>
    <w:rsid w:val="00822EDB"/>
    <w:rsid w:val="008232ED"/>
    <w:rsid w:val="00823D5A"/>
    <w:rsid w:val="0082427C"/>
    <w:rsid w:val="0082442D"/>
    <w:rsid w:val="0082465A"/>
    <w:rsid w:val="00824821"/>
    <w:rsid w:val="00824D9B"/>
    <w:rsid w:val="0082539F"/>
    <w:rsid w:val="008258BA"/>
    <w:rsid w:val="00826136"/>
    <w:rsid w:val="008263AD"/>
    <w:rsid w:val="008278B8"/>
    <w:rsid w:val="00827AD2"/>
    <w:rsid w:val="00830510"/>
    <w:rsid w:val="00830606"/>
    <w:rsid w:val="008306C4"/>
    <w:rsid w:val="0083092C"/>
    <w:rsid w:val="00830958"/>
    <w:rsid w:val="00830DC9"/>
    <w:rsid w:val="00831241"/>
    <w:rsid w:val="00831EA7"/>
    <w:rsid w:val="00832BB1"/>
    <w:rsid w:val="00832FC6"/>
    <w:rsid w:val="0083300B"/>
    <w:rsid w:val="008334BB"/>
    <w:rsid w:val="008334F0"/>
    <w:rsid w:val="008334FA"/>
    <w:rsid w:val="0083356A"/>
    <w:rsid w:val="00833821"/>
    <w:rsid w:val="00833B35"/>
    <w:rsid w:val="00833D37"/>
    <w:rsid w:val="0083400C"/>
    <w:rsid w:val="0083574D"/>
    <w:rsid w:val="00835B59"/>
    <w:rsid w:val="00835BF9"/>
    <w:rsid w:val="00835FBA"/>
    <w:rsid w:val="00836096"/>
    <w:rsid w:val="00836CDA"/>
    <w:rsid w:val="00837142"/>
    <w:rsid w:val="00837957"/>
    <w:rsid w:val="008379DB"/>
    <w:rsid w:val="00837AE5"/>
    <w:rsid w:val="00837E79"/>
    <w:rsid w:val="008414FC"/>
    <w:rsid w:val="00841A30"/>
    <w:rsid w:val="00841DD6"/>
    <w:rsid w:val="008430F5"/>
    <w:rsid w:val="00843479"/>
    <w:rsid w:val="00843A34"/>
    <w:rsid w:val="00843BAD"/>
    <w:rsid w:val="00843F12"/>
    <w:rsid w:val="008442E5"/>
    <w:rsid w:val="00844C7F"/>
    <w:rsid w:val="008454B5"/>
    <w:rsid w:val="00845692"/>
    <w:rsid w:val="008456EB"/>
    <w:rsid w:val="008458A1"/>
    <w:rsid w:val="008459EA"/>
    <w:rsid w:val="0084636B"/>
    <w:rsid w:val="00846779"/>
    <w:rsid w:val="008471C9"/>
    <w:rsid w:val="00847567"/>
    <w:rsid w:val="00847832"/>
    <w:rsid w:val="00847A1F"/>
    <w:rsid w:val="00850474"/>
    <w:rsid w:val="00850641"/>
    <w:rsid w:val="00850B20"/>
    <w:rsid w:val="00851348"/>
    <w:rsid w:val="008519F7"/>
    <w:rsid w:val="00852B56"/>
    <w:rsid w:val="008536D1"/>
    <w:rsid w:val="00853BFE"/>
    <w:rsid w:val="0085405C"/>
    <w:rsid w:val="008541E7"/>
    <w:rsid w:val="00854599"/>
    <w:rsid w:val="00854627"/>
    <w:rsid w:val="00854A70"/>
    <w:rsid w:val="00854C1F"/>
    <w:rsid w:val="00854DBF"/>
    <w:rsid w:val="0085572B"/>
    <w:rsid w:val="00855962"/>
    <w:rsid w:val="00855B5C"/>
    <w:rsid w:val="00855FC9"/>
    <w:rsid w:val="00856002"/>
    <w:rsid w:val="00856108"/>
    <w:rsid w:val="0085626D"/>
    <w:rsid w:val="0085635D"/>
    <w:rsid w:val="0085676C"/>
    <w:rsid w:val="0085697D"/>
    <w:rsid w:val="00857B60"/>
    <w:rsid w:val="00857D02"/>
    <w:rsid w:val="00857E65"/>
    <w:rsid w:val="008605C5"/>
    <w:rsid w:val="00860A5F"/>
    <w:rsid w:val="00860B90"/>
    <w:rsid w:val="00860C4A"/>
    <w:rsid w:val="00861114"/>
    <w:rsid w:val="00861197"/>
    <w:rsid w:val="00861805"/>
    <w:rsid w:val="008624EA"/>
    <w:rsid w:val="00862AD8"/>
    <w:rsid w:val="00862B1A"/>
    <w:rsid w:val="00862D15"/>
    <w:rsid w:val="00862F5D"/>
    <w:rsid w:val="00862F8B"/>
    <w:rsid w:val="008635AC"/>
    <w:rsid w:val="00863750"/>
    <w:rsid w:val="008637D9"/>
    <w:rsid w:val="00863A68"/>
    <w:rsid w:val="0086411C"/>
    <w:rsid w:val="00864B69"/>
    <w:rsid w:val="00864CF3"/>
    <w:rsid w:val="0086515E"/>
    <w:rsid w:val="008653D0"/>
    <w:rsid w:val="0086639A"/>
    <w:rsid w:val="00866A4B"/>
    <w:rsid w:val="00866C0C"/>
    <w:rsid w:val="00867491"/>
    <w:rsid w:val="00867B6E"/>
    <w:rsid w:val="00867BD8"/>
    <w:rsid w:val="00867C69"/>
    <w:rsid w:val="0087109B"/>
    <w:rsid w:val="008724C4"/>
    <w:rsid w:val="0087298D"/>
    <w:rsid w:val="00873D5A"/>
    <w:rsid w:val="00874C1B"/>
    <w:rsid w:val="00874F8B"/>
    <w:rsid w:val="008750F3"/>
    <w:rsid w:val="00875538"/>
    <w:rsid w:val="00875D1B"/>
    <w:rsid w:val="00875D9A"/>
    <w:rsid w:val="00875F3F"/>
    <w:rsid w:val="00876218"/>
    <w:rsid w:val="0087622F"/>
    <w:rsid w:val="0087624A"/>
    <w:rsid w:val="0087630D"/>
    <w:rsid w:val="00876929"/>
    <w:rsid w:val="008769D0"/>
    <w:rsid w:val="00876A20"/>
    <w:rsid w:val="00876D6A"/>
    <w:rsid w:val="00876EEE"/>
    <w:rsid w:val="00877799"/>
    <w:rsid w:val="00877AD9"/>
    <w:rsid w:val="00877D90"/>
    <w:rsid w:val="00877F00"/>
    <w:rsid w:val="00880566"/>
    <w:rsid w:val="00880748"/>
    <w:rsid w:val="00880D73"/>
    <w:rsid w:val="008811F4"/>
    <w:rsid w:val="008817EE"/>
    <w:rsid w:val="0088194D"/>
    <w:rsid w:val="00881E70"/>
    <w:rsid w:val="00881FF2"/>
    <w:rsid w:val="00882863"/>
    <w:rsid w:val="00882992"/>
    <w:rsid w:val="008831D3"/>
    <w:rsid w:val="008839AD"/>
    <w:rsid w:val="00884326"/>
    <w:rsid w:val="008844C4"/>
    <w:rsid w:val="00884CC1"/>
    <w:rsid w:val="00885C1C"/>
    <w:rsid w:val="00885EC1"/>
    <w:rsid w:val="0088617D"/>
    <w:rsid w:val="008861B0"/>
    <w:rsid w:val="008866E3"/>
    <w:rsid w:val="00886F21"/>
    <w:rsid w:val="0088718B"/>
    <w:rsid w:val="00887238"/>
    <w:rsid w:val="00887E73"/>
    <w:rsid w:val="00887EA4"/>
    <w:rsid w:val="00890E84"/>
    <w:rsid w:val="0089168B"/>
    <w:rsid w:val="008917BD"/>
    <w:rsid w:val="00891A49"/>
    <w:rsid w:val="00892214"/>
    <w:rsid w:val="00892699"/>
    <w:rsid w:val="0089269E"/>
    <w:rsid w:val="008927C1"/>
    <w:rsid w:val="0089289F"/>
    <w:rsid w:val="008933D3"/>
    <w:rsid w:val="008939AA"/>
    <w:rsid w:val="008939F7"/>
    <w:rsid w:val="00893A64"/>
    <w:rsid w:val="00893D2A"/>
    <w:rsid w:val="00894108"/>
    <w:rsid w:val="008947C1"/>
    <w:rsid w:val="0089489E"/>
    <w:rsid w:val="008952C7"/>
    <w:rsid w:val="008954A8"/>
    <w:rsid w:val="00895680"/>
    <w:rsid w:val="008957BE"/>
    <w:rsid w:val="008959EF"/>
    <w:rsid w:val="00895B16"/>
    <w:rsid w:val="00895C6F"/>
    <w:rsid w:val="0089668D"/>
    <w:rsid w:val="008969D2"/>
    <w:rsid w:val="00896C23"/>
    <w:rsid w:val="00896C56"/>
    <w:rsid w:val="00896C61"/>
    <w:rsid w:val="0089708E"/>
    <w:rsid w:val="008973F3"/>
    <w:rsid w:val="00897404"/>
    <w:rsid w:val="00897677"/>
    <w:rsid w:val="008977BA"/>
    <w:rsid w:val="00897A9C"/>
    <w:rsid w:val="00897F1D"/>
    <w:rsid w:val="008A0374"/>
    <w:rsid w:val="008A0E04"/>
    <w:rsid w:val="008A0F67"/>
    <w:rsid w:val="008A1D82"/>
    <w:rsid w:val="008A1E01"/>
    <w:rsid w:val="008A1FE1"/>
    <w:rsid w:val="008A27B1"/>
    <w:rsid w:val="008A2935"/>
    <w:rsid w:val="008A295F"/>
    <w:rsid w:val="008A311B"/>
    <w:rsid w:val="008A3AFD"/>
    <w:rsid w:val="008A3B38"/>
    <w:rsid w:val="008A3E29"/>
    <w:rsid w:val="008A3EAE"/>
    <w:rsid w:val="008A3F24"/>
    <w:rsid w:val="008A40CA"/>
    <w:rsid w:val="008A46F4"/>
    <w:rsid w:val="008A479F"/>
    <w:rsid w:val="008A53B5"/>
    <w:rsid w:val="008A5F62"/>
    <w:rsid w:val="008A747E"/>
    <w:rsid w:val="008A749E"/>
    <w:rsid w:val="008A76E8"/>
    <w:rsid w:val="008A773A"/>
    <w:rsid w:val="008A79FA"/>
    <w:rsid w:val="008A7CB5"/>
    <w:rsid w:val="008B05FD"/>
    <w:rsid w:val="008B06FC"/>
    <w:rsid w:val="008B0736"/>
    <w:rsid w:val="008B1294"/>
    <w:rsid w:val="008B157E"/>
    <w:rsid w:val="008B17EB"/>
    <w:rsid w:val="008B1940"/>
    <w:rsid w:val="008B22C9"/>
    <w:rsid w:val="008B24B5"/>
    <w:rsid w:val="008B285C"/>
    <w:rsid w:val="008B3CA3"/>
    <w:rsid w:val="008B413B"/>
    <w:rsid w:val="008B423E"/>
    <w:rsid w:val="008B46BA"/>
    <w:rsid w:val="008B4828"/>
    <w:rsid w:val="008B489F"/>
    <w:rsid w:val="008B4A37"/>
    <w:rsid w:val="008B4EA1"/>
    <w:rsid w:val="008B4F62"/>
    <w:rsid w:val="008B52F3"/>
    <w:rsid w:val="008B5852"/>
    <w:rsid w:val="008B5B6D"/>
    <w:rsid w:val="008B6788"/>
    <w:rsid w:val="008B683C"/>
    <w:rsid w:val="008B69B8"/>
    <w:rsid w:val="008B6B2C"/>
    <w:rsid w:val="008B6BD3"/>
    <w:rsid w:val="008B703F"/>
    <w:rsid w:val="008B71A3"/>
    <w:rsid w:val="008B7523"/>
    <w:rsid w:val="008C0D65"/>
    <w:rsid w:val="008C0E72"/>
    <w:rsid w:val="008C10C8"/>
    <w:rsid w:val="008C182D"/>
    <w:rsid w:val="008C1BF8"/>
    <w:rsid w:val="008C1DF0"/>
    <w:rsid w:val="008C1EE2"/>
    <w:rsid w:val="008C1F7C"/>
    <w:rsid w:val="008C1FE4"/>
    <w:rsid w:val="008C280A"/>
    <w:rsid w:val="008C288E"/>
    <w:rsid w:val="008C30C7"/>
    <w:rsid w:val="008C40D1"/>
    <w:rsid w:val="008C473D"/>
    <w:rsid w:val="008C4913"/>
    <w:rsid w:val="008C4B6F"/>
    <w:rsid w:val="008C4BE0"/>
    <w:rsid w:val="008C56F7"/>
    <w:rsid w:val="008C5CAA"/>
    <w:rsid w:val="008C5D7E"/>
    <w:rsid w:val="008C6174"/>
    <w:rsid w:val="008C621F"/>
    <w:rsid w:val="008C6DB5"/>
    <w:rsid w:val="008C7164"/>
    <w:rsid w:val="008C716E"/>
    <w:rsid w:val="008C7171"/>
    <w:rsid w:val="008C7403"/>
    <w:rsid w:val="008C7D10"/>
    <w:rsid w:val="008C7DD6"/>
    <w:rsid w:val="008D01D3"/>
    <w:rsid w:val="008D0873"/>
    <w:rsid w:val="008D0B3B"/>
    <w:rsid w:val="008D0E6D"/>
    <w:rsid w:val="008D1A36"/>
    <w:rsid w:val="008D1A72"/>
    <w:rsid w:val="008D1D6A"/>
    <w:rsid w:val="008D2354"/>
    <w:rsid w:val="008D28BD"/>
    <w:rsid w:val="008D2EE6"/>
    <w:rsid w:val="008D2F52"/>
    <w:rsid w:val="008D3914"/>
    <w:rsid w:val="008D3D9C"/>
    <w:rsid w:val="008D45DD"/>
    <w:rsid w:val="008D5323"/>
    <w:rsid w:val="008D5D0C"/>
    <w:rsid w:val="008D65C0"/>
    <w:rsid w:val="008D7C6C"/>
    <w:rsid w:val="008D7EEA"/>
    <w:rsid w:val="008E04A9"/>
    <w:rsid w:val="008E0B6C"/>
    <w:rsid w:val="008E0C87"/>
    <w:rsid w:val="008E19D6"/>
    <w:rsid w:val="008E1A2E"/>
    <w:rsid w:val="008E2A77"/>
    <w:rsid w:val="008E2E7F"/>
    <w:rsid w:val="008E406C"/>
    <w:rsid w:val="008E439E"/>
    <w:rsid w:val="008E47C6"/>
    <w:rsid w:val="008E480D"/>
    <w:rsid w:val="008E522E"/>
    <w:rsid w:val="008E5309"/>
    <w:rsid w:val="008E53E0"/>
    <w:rsid w:val="008E6387"/>
    <w:rsid w:val="008E6396"/>
    <w:rsid w:val="008E6D57"/>
    <w:rsid w:val="008E7161"/>
    <w:rsid w:val="008E7233"/>
    <w:rsid w:val="008E72D9"/>
    <w:rsid w:val="008E7334"/>
    <w:rsid w:val="008E7410"/>
    <w:rsid w:val="008E7902"/>
    <w:rsid w:val="008E7E26"/>
    <w:rsid w:val="008E7F96"/>
    <w:rsid w:val="008F05BC"/>
    <w:rsid w:val="008F132F"/>
    <w:rsid w:val="008F1F55"/>
    <w:rsid w:val="008F214D"/>
    <w:rsid w:val="008F2905"/>
    <w:rsid w:val="008F2ED4"/>
    <w:rsid w:val="008F304D"/>
    <w:rsid w:val="008F3D0D"/>
    <w:rsid w:val="008F3DFB"/>
    <w:rsid w:val="008F4285"/>
    <w:rsid w:val="008F438A"/>
    <w:rsid w:val="008F4AC6"/>
    <w:rsid w:val="008F4B79"/>
    <w:rsid w:val="008F52A6"/>
    <w:rsid w:val="008F5433"/>
    <w:rsid w:val="008F5DAE"/>
    <w:rsid w:val="008F66C9"/>
    <w:rsid w:val="008F792A"/>
    <w:rsid w:val="008F793D"/>
    <w:rsid w:val="008F7C72"/>
    <w:rsid w:val="009013FD"/>
    <w:rsid w:val="0090177C"/>
    <w:rsid w:val="0090217A"/>
    <w:rsid w:val="009028AE"/>
    <w:rsid w:val="00902963"/>
    <w:rsid w:val="00902D2C"/>
    <w:rsid w:val="00902F09"/>
    <w:rsid w:val="00903068"/>
    <w:rsid w:val="0090337B"/>
    <w:rsid w:val="00903A97"/>
    <w:rsid w:val="00903D02"/>
    <w:rsid w:val="00903D0C"/>
    <w:rsid w:val="00903DD3"/>
    <w:rsid w:val="00903EE0"/>
    <w:rsid w:val="00904573"/>
    <w:rsid w:val="009048CB"/>
    <w:rsid w:val="00904BA6"/>
    <w:rsid w:val="00904C56"/>
    <w:rsid w:val="00904D49"/>
    <w:rsid w:val="00905134"/>
    <w:rsid w:val="00905653"/>
    <w:rsid w:val="0090591B"/>
    <w:rsid w:val="00905AB9"/>
    <w:rsid w:val="0090624D"/>
    <w:rsid w:val="00906A9A"/>
    <w:rsid w:val="00906B4C"/>
    <w:rsid w:val="00906ECE"/>
    <w:rsid w:val="009070E0"/>
    <w:rsid w:val="00907487"/>
    <w:rsid w:val="009075C1"/>
    <w:rsid w:val="00907734"/>
    <w:rsid w:val="00910973"/>
    <w:rsid w:val="00910E21"/>
    <w:rsid w:val="00911191"/>
    <w:rsid w:val="00911240"/>
    <w:rsid w:val="00911D02"/>
    <w:rsid w:val="00912646"/>
    <w:rsid w:val="009129C0"/>
    <w:rsid w:val="00912B25"/>
    <w:rsid w:val="00913116"/>
    <w:rsid w:val="0091339A"/>
    <w:rsid w:val="009136DD"/>
    <w:rsid w:val="009137AC"/>
    <w:rsid w:val="00913C5F"/>
    <w:rsid w:val="0091477F"/>
    <w:rsid w:val="009148BD"/>
    <w:rsid w:val="00915011"/>
    <w:rsid w:val="0091557D"/>
    <w:rsid w:val="009158E9"/>
    <w:rsid w:val="009161D2"/>
    <w:rsid w:val="00916347"/>
    <w:rsid w:val="00917C56"/>
    <w:rsid w:val="009201E0"/>
    <w:rsid w:val="009203E2"/>
    <w:rsid w:val="0092040A"/>
    <w:rsid w:val="00920B37"/>
    <w:rsid w:val="00920E12"/>
    <w:rsid w:val="009217A6"/>
    <w:rsid w:val="00921865"/>
    <w:rsid w:val="00921BD1"/>
    <w:rsid w:val="00922022"/>
    <w:rsid w:val="0092260A"/>
    <w:rsid w:val="00922779"/>
    <w:rsid w:val="00922794"/>
    <w:rsid w:val="00922830"/>
    <w:rsid w:val="0092326F"/>
    <w:rsid w:val="00923437"/>
    <w:rsid w:val="00923A93"/>
    <w:rsid w:val="0092497C"/>
    <w:rsid w:val="00925FD3"/>
    <w:rsid w:val="0092603E"/>
    <w:rsid w:val="0092633F"/>
    <w:rsid w:val="009266EE"/>
    <w:rsid w:val="009267EE"/>
    <w:rsid w:val="0092681A"/>
    <w:rsid w:val="00926A4E"/>
    <w:rsid w:val="00927193"/>
    <w:rsid w:val="009300A9"/>
    <w:rsid w:val="009300D4"/>
    <w:rsid w:val="00930873"/>
    <w:rsid w:val="00930B68"/>
    <w:rsid w:val="00930B75"/>
    <w:rsid w:val="00930BC3"/>
    <w:rsid w:val="00931BD0"/>
    <w:rsid w:val="00931E4A"/>
    <w:rsid w:val="00931FA9"/>
    <w:rsid w:val="00932601"/>
    <w:rsid w:val="009329E9"/>
    <w:rsid w:val="0093326B"/>
    <w:rsid w:val="0093360C"/>
    <w:rsid w:val="0093361A"/>
    <w:rsid w:val="009338D4"/>
    <w:rsid w:val="00933901"/>
    <w:rsid w:val="00933BC7"/>
    <w:rsid w:val="00933D70"/>
    <w:rsid w:val="00933DFA"/>
    <w:rsid w:val="00933F3E"/>
    <w:rsid w:val="00934060"/>
    <w:rsid w:val="0093495A"/>
    <w:rsid w:val="00935E29"/>
    <w:rsid w:val="00935EB4"/>
    <w:rsid w:val="00935F7F"/>
    <w:rsid w:val="00936078"/>
    <w:rsid w:val="0093656D"/>
    <w:rsid w:val="009366B6"/>
    <w:rsid w:val="00936838"/>
    <w:rsid w:val="00936EA9"/>
    <w:rsid w:val="0093764E"/>
    <w:rsid w:val="0094056A"/>
    <w:rsid w:val="00940BEE"/>
    <w:rsid w:val="00940D42"/>
    <w:rsid w:val="00940F8E"/>
    <w:rsid w:val="009410F3"/>
    <w:rsid w:val="0094196F"/>
    <w:rsid w:val="00941A77"/>
    <w:rsid w:val="009421AA"/>
    <w:rsid w:val="00943011"/>
    <w:rsid w:val="0094326D"/>
    <w:rsid w:val="009432A0"/>
    <w:rsid w:val="0094384B"/>
    <w:rsid w:val="009438B3"/>
    <w:rsid w:val="00944C66"/>
    <w:rsid w:val="00944FB9"/>
    <w:rsid w:val="00945D0A"/>
    <w:rsid w:val="00945E6A"/>
    <w:rsid w:val="0094665B"/>
    <w:rsid w:val="009466BF"/>
    <w:rsid w:val="00947325"/>
    <w:rsid w:val="009477F0"/>
    <w:rsid w:val="009478C2"/>
    <w:rsid w:val="0095002B"/>
    <w:rsid w:val="00950D1A"/>
    <w:rsid w:val="00951C74"/>
    <w:rsid w:val="00952721"/>
    <w:rsid w:val="0095276D"/>
    <w:rsid w:val="00952AC8"/>
    <w:rsid w:val="00952E01"/>
    <w:rsid w:val="009530F1"/>
    <w:rsid w:val="009533D1"/>
    <w:rsid w:val="009536EA"/>
    <w:rsid w:val="00953898"/>
    <w:rsid w:val="00953CCE"/>
    <w:rsid w:val="00954364"/>
    <w:rsid w:val="00954BFE"/>
    <w:rsid w:val="00954F80"/>
    <w:rsid w:val="00955804"/>
    <w:rsid w:val="009559DE"/>
    <w:rsid w:val="009567B2"/>
    <w:rsid w:val="0095692F"/>
    <w:rsid w:val="00956CED"/>
    <w:rsid w:val="009571A6"/>
    <w:rsid w:val="00957219"/>
    <w:rsid w:val="00957C6F"/>
    <w:rsid w:val="00960087"/>
    <w:rsid w:val="00960205"/>
    <w:rsid w:val="0096084F"/>
    <w:rsid w:val="00960E7E"/>
    <w:rsid w:val="00961483"/>
    <w:rsid w:val="00961D6F"/>
    <w:rsid w:val="00962218"/>
    <w:rsid w:val="00962D58"/>
    <w:rsid w:val="00962D6A"/>
    <w:rsid w:val="00962FBC"/>
    <w:rsid w:val="00963180"/>
    <w:rsid w:val="0096356B"/>
    <w:rsid w:val="0096367B"/>
    <w:rsid w:val="009638FC"/>
    <w:rsid w:val="00963C31"/>
    <w:rsid w:val="0096459B"/>
    <w:rsid w:val="009645F3"/>
    <w:rsid w:val="009648E1"/>
    <w:rsid w:val="00964C3B"/>
    <w:rsid w:val="00964C3C"/>
    <w:rsid w:val="00964EAC"/>
    <w:rsid w:val="00964F7B"/>
    <w:rsid w:val="009655B1"/>
    <w:rsid w:val="00965F6F"/>
    <w:rsid w:val="009660A3"/>
    <w:rsid w:val="00966F43"/>
    <w:rsid w:val="00967345"/>
    <w:rsid w:val="00967451"/>
    <w:rsid w:val="00967815"/>
    <w:rsid w:val="009678BB"/>
    <w:rsid w:val="00967A47"/>
    <w:rsid w:val="0097006F"/>
    <w:rsid w:val="009709A2"/>
    <w:rsid w:val="00970B7E"/>
    <w:rsid w:val="00971540"/>
    <w:rsid w:val="00971763"/>
    <w:rsid w:val="00971858"/>
    <w:rsid w:val="00971BE5"/>
    <w:rsid w:val="009729D1"/>
    <w:rsid w:val="00972C07"/>
    <w:rsid w:val="009732EA"/>
    <w:rsid w:val="00973308"/>
    <w:rsid w:val="00973607"/>
    <w:rsid w:val="009740F5"/>
    <w:rsid w:val="00974188"/>
    <w:rsid w:val="009749DA"/>
    <w:rsid w:val="00974FCB"/>
    <w:rsid w:val="0097536C"/>
    <w:rsid w:val="009756A1"/>
    <w:rsid w:val="00975BCF"/>
    <w:rsid w:val="00975C81"/>
    <w:rsid w:val="009764B6"/>
    <w:rsid w:val="009766BC"/>
    <w:rsid w:val="00976DD3"/>
    <w:rsid w:val="009771AF"/>
    <w:rsid w:val="00977346"/>
    <w:rsid w:val="0097746F"/>
    <w:rsid w:val="00977680"/>
    <w:rsid w:val="00980090"/>
    <w:rsid w:val="00980815"/>
    <w:rsid w:val="0098163A"/>
    <w:rsid w:val="00981922"/>
    <w:rsid w:val="00982524"/>
    <w:rsid w:val="0098261F"/>
    <w:rsid w:val="00982784"/>
    <w:rsid w:val="00983238"/>
    <w:rsid w:val="009835AE"/>
    <w:rsid w:val="00983958"/>
    <w:rsid w:val="00983BFE"/>
    <w:rsid w:val="00983F4A"/>
    <w:rsid w:val="009840D0"/>
    <w:rsid w:val="009843EC"/>
    <w:rsid w:val="00984406"/>
    <w:rsid w:val="0098536E"/>
    <w:rsid w:val="00985670"/>
    <w:rsid w:val="00985E6C"/>
    <w:rsid w:val="00986546"/>
    <w:rsid w:val="00986715"/>
    <w:rsid w:val="00986FBC"/>
    <w:rsid w:val="0098727E"/>
    <w:rsid w:val="00987840"/>
    <w:rsid w:val="00987C57"/>
    <w:rsid w:val="009900DC"/>
    <w:rsid w:val="00990610"/>
    <w:rsid w:val="0099061F"/>
    <w:rsid w:val="00990624"/>
    <w:rsid w:val="00990716"/>
    <w:rsid w:val="00990B7A"/>
    <w:rsid w:val="00990CC8"/>
    <w:rsid w:val="0099108D"/>
    <w:rsid w:val="00991349"/>
    <w:rsid w:val="00991CB2"/>
    <w:rsid w:val="00991E9C"/>
    <w:rsid w:val="009926E7"/>
    <w:rsid w:val="009929E1"/>
    <w:rsid w:val="00993036"/>
    <w:rsid w:val="00993951"/>
    <w:rsid w:val="00993BF5"/>
    <w:rsid w:val="009940AA"/>
    <w:rsid w:val="00994126"/>
    <w:rsid w:val="0099524A"/>
    <w:rsid w:val="009956AF"/>
    <w:rsid w:val="009958E9"/>
    <w:rsid w:val="00995A85"/>
    <w:rsid w:val="00995AB8"/>
    <w:rsid w:val="00996573"/>
    <w:rsid w:val="00997A61"/>
    <w:rsid w:val="00997FC2"/>
    <w:rsid w:val="009A00AA"/>
    <w:rsid w:val="009A04C9"/>
    <w:rsid w:val="009A0A87"/>
    <w:rsid w:val="009A13BE"/>
    <w:rsid w:val="009A14D9"/>
    <w:rsid w:val="009A1B64"/>
    <w:rsid w:val="009A3182"/>
    <w:rsid w:val="009A3285"/>
    <w:rsid w:val="009A35A7"/>
    <w:rsid w:val="009A362F"/>
    <w:rsid w:val="009A3BEB"/>
    <w:rsid w:val="009A3C5E"/>
    <w:rsid w:val="009A3C6C"/>
    <w:rsid w:val="009A475A"/>
    <w:rsid w:val="009A4827"/>
    <w:rsid w:val="009A4AF8"/>
    <w:rsid w:val="009A4FF9"/>
    <w:rsid w:val="009A5732"/>
    <w:rsid w:val="009A5DAD"/>
    <w:rsid w:val="009A5F09"/>
    <w:rsid w:val="009A605C"/>
    <w:rsid w:val="009A633E"/>
    <w:rsid w:val="009A63B4"/>
    <w:rsid w:val="009A6462"/>
    <w:rsid w:val="009A6EC1"/>
    <w:rsid w:val="009A7DA2"/>
    <w:rsid w:val="009B00A3"/>
    <w:rsid w:val="009B01D0"/>
    <w:rsid w:val="009B0571"/>
    <w:rsid w:val="009B0952"/>
    <w:rsid w:val="009B0ABC"/>
    <w:rsid w:val="009B1F55"/>
    <w:rsid w:val="009B2058"/>
    <w:rsid w:val="009B21FF"/>
    <w:rsid w:val="009B2CB4"/>
    <w:rsid w:val="009B3A2C"/>
    <w:rsid w:val="009B3B4D"/>
    <w:rsid w:val="009B5129"/>
    <w:rsid w:val="009B51FC"/>
    <w:rsid w:val="009B59C0"/>
    <w:rsid w:val="009B5AAD"/>
    <w:rsid w:val="009B5ACF"/>
    <w:rsid w:val="009B5AFD"/>
    <w:rsid w:val="009B5E16"/>
    <w:rsid w:val="009B63E9"/>
    <w:rsid w:val="009B663A"/>
    <w:rsid w:val="009B68D9"/>
    <w:rsid w:val="009B7580"/>
    <w:rsid w:val="009B79C0"/>
    <w:rsid w:val="009B7CE6"/>
    <w:rsid w:val="009B7F1E"/>
    <w:rsid w:val="009B7F89"/>
    <w:rsid w:val="009C0056"/>
    <w:rsid w:val="009C059C"/>
    <w:rsid w:val="009C07FB"/>
    <w:rsid w:val="009C0BEE"/>
    <w:rsid w:val="009C0DB0"/>
    <w:rsid w:val="009C12A3"/>
    <w:rsid w:val="009C160C"/>
    <w:rsid w:val="009C170F"/>
    <w:rsid w:val="009C18C5"/>
    <w:rsid w:val="009C1937"/>
    <w:rsid w:val="009C19BF"/>
    <w:rsid w:val="009C1ACE"/>
    <w:rsid w:val="009C1D9F"/>
    <w:rsid w:val="009C21CC"/>
    <w:rsid w:val="009C22B4"/>
    <w:rsid w:val="009C24FA"/>
    <w:rsid w:val="009C257C"/>
    <w:rsid w:val="009C2665"/>
    <w:rsid w:val="009C26A8"/>
    <w:rsid w:val="009C32C6"/>
    <w:rsid w:val="009C3EAF"/>
    <w:rsid w:val="009C4901"/>
    <w:rsid w:val="009C4A9F"/>
    <w:rsid w:val="009C4B1C"/>
    <w:rsid w:val="009C4C25"/>
    <w:rsid w:val="009C4E33"/>
    <w:rsid w:val="009C521B"/>
    <w:rsid w:val="009C5872"/>
    <w:rsid w:val="009D0A9D"/>
    <w:rsid w:val="009D0F82"/>
    <w:rsid w:val="009D1933"/>
    <w:rsid w:val="009D2325"/>
    <w:rsid w:val="009D4190"/>
    <w:rsid w:val="009D4746"/>
    <w:rsid w:val="009D4A32"/>
    <w:rsid w:val="009D4D1D"/>
    <w:rsid w:val="009D4F6C"/>
    <w:rsid w:val="009D56F0"/>
    <w:rsid w:val="009D5DE3"/>
    <w:rsid w:val="009D622B"/>
    <w:rsid w:val="009D687E"/>
    <w:rsid w:val="009D6E00"/>
    <w:rsid w:val="009D6E6F"/>
    <w:rsid w:val="009D7CB4"/>
    <w:rsid w:val="009D7CC6"/>
    <w:rsid w:val="009E030C"/>
    <w:rsid w:val="009E0CCC"/>
    <w:rsid w:val="009E0E38"/>
    <w:rsid w:val="009E1295"/>
    <w:rsid w:val="009E1800"/>
    <w:rsid w:val="009E1908"/>
    <w:rsid w:val="009E19CE"/>
    <w:rsid w:val="009E1D96"/>
    <w:rsid w:val="009E2720"/>
    <w:rsid w:val="009E31BC"/>
    <w:rsid w:val="009E3651"/>
    <w:rsid w:val="009E37BC"/>
    <w:rsid w:val="009E3BEC"/>
    <w:rsid w:val="009E3E4E"/>
    <w:rsid w:val="009E411A"/>
    <w:rsid w:val="009E47EC"/>
    <w:rsid w:val="009E4B79"/>
    <w:rsid w:val="009E4DDF"/>
    <w:rsid w:val="009E53F4"/>
    <w:rsid w:val="009E5724"/>
    <w:rsid w:val="009E5B60"/>
    <w:rsid w:val="009E5C46"/>
    <w:rsid w:val="009E6937"/>
    <w:rsid w:val="009E6FAD"/>
    <w:rsid w:val="009E70CE"/>
    <w:rsid w:val="009E7748"/>
    <w:rsid w:val="009E78F8"/>
    <w:rsid w:val="009E7B85"/>
    <w:rsid w:val="009E7D5E"/>
    <w:rsid w:val="009F0132"/>
    <w:rsid w:val="009F01E9"/>
    <w:rsid w:val="009F0226"/>
    <w:rsid w:val="009F04CC"/>
    <w:rsid w:val="009F09D1"/>
    <w:rsid w:val="009F0AD3"/>
    <w:rsid w:val="009F0FF0"/>
    <w:rsid w:val="009F1472"/>
    <w:rsid w:val="009F18BA"/>
    <w:rsid w:val="009F1CBB"/>
    <w:rsid w:val="009F22BA"/>
    <w:rsid w:val="009F2472"/>
    <w:rsid w:val="009F24C2"/>
    <w:rsid w:val="009F2A01"/>
    <w:rsid w:val="009F2DD1"/>
    <w:rsid w:val="009F356D"/>
    <w:rsid w:val="009F3F08"/>
    <w:rsid w:val="009F48C7"/>
    <w:rsid w:val="009F4CE1"/>
    <w:rsid w:val="009F530B"/>
    <w:rsid w:val="009F5A6F"/>
    <w:rsid w:val="009F5EB5"/>
    <w:rsid w:val="009F6AC9"/>
    <w:rsid w:val="009F794D"/>
    <w:rsid w:val="009F7BE6"/>
    <w:rsid w:val="00A0095B"/>
    <w:rsid w:val="00A00B55"/>
    <w:rsid w:val="00A015B5"/>
    <w:rsid w:val="00A021CF"/>
    <w:rsid w:val="00A02862"/>
    <w:rsid w:val="00A03D98"/>
    <w:rsid w:val="00A03DA3"/>
    <w:rsid w:val="00A03F1F"/>
    <w:rsid w:val="00A044C5"/>
    <w:rsid w:val="00A045FA"/>
    <w:rsid w:val="00A04EDE"/>
    <w:rsid w:val="00A05983"/>
    <w:rsid w:val="00A059DB"/>
    <w:rsid w:val="00A05BD0"/>
    <w:rsid w:val="00A05F51"/>
    <w:rsid w:val="00A06442"/>
    <w:rsid w:val="00A06880"/>
    <w:rsid w:val="00A0723E"/>
    <w:rsid w:val="00A077B1"/>
    <w:rsid w:val="00A07BDF"/>
    <w:rsid w:val="00A07CBE"/>
    <w:rsid w:val="00A1076C"/>
    <w:rsid w:val="00A108EA"/>
    <w:rsid w:val="00A10AA3"/>
    <w:rsid w:val="00A10C4C"/>
    <w:rsid w:val="00A10C53"/>
    <w:rsid w:val="00A110FA"/>
    <w:rsid w:val="00A11282"/>
    <w:rsid w:val="00A1156D"/>
    <w:rsid w:val="00A11972"/>
    <w:rsid w:val="00A11B82"/>
    <w:rsid w:val="00A11D5F"/>
    <w:rsid w:val="00A11F36"/>
    <w:rsid w:val="00A122D3"/>
    <w:rsid w:val="00A127E9"/>
    <w:rsid w:val="00A132CA"/>
    <w:rsid w:val="00A137F8"/>
    <w:rsid w:val="00A1396D"/>
    <w:rsid w:val="00A13BBF"/>
    <w:rsid w:val="00A13CB7"/>
    <w:rsid w:val="00A14AB5"/>
    <w:rsid w:val="00A14CC9"/>
    <w:rsid w:val="00A14F58"/>
    <w:rsid w:val="00A155F9"/>
    <w:rsid w:val="00A15974"/>
    <w:rsid w:val="00A15C15"/>
    <w:rsid w:val="00A15D67"/>
    <w:rsid w:val="00A15DF7"/>
    <w:rsid w:val="00A16476"/>
    <w:rsid w:val="00A16CD9"/>
    <w:rsid w:val="00A16D0A"/>
    <w:rsid w:val="00A16E8D"/>
    <w:rsid w:val="00A175C5"/>
    <w:rsid w:val="00A1769D"/>
    <w:rsid w:val="00A1794F"/>
    <w:rsid w:val="00A20030"/>
    <w:rsid w:val="00A200CC"/>
    <w:rsid w:val="00A201B1"/>
    <w:rsid w:val="00A206E9"/>
    <w:rsid w:val="00A2083F"/>
    <w:rsid w:val="00A20D39"/>
    <w:rsid w:val="00A21165"/>
    <w:rsid w:val="00A21471"/>
    <w:rsid w:val="00A21B50"/>
    <w:rsid w:val="00A23000"/>
    <w:rsid w:val="00A234B8"/>
    <w:rsid w:val="00A24C24"/>
    <w:rsid w:val="00A24E18"/>
    <w:rsid w:val="00A252C9"/>
    <w:rsid w:val="00A2568D"/>
    <w:rsid w:val="00A25A6F"/>
    <w:rsid w:val="00A25E5E"/>
    <w:rsid w:val="00A2614E"/>
    <w:rsid w:val="00A263FA"/>
    <w:rsid w:val="00A266C8"/>
    <w:rsid w:val="00A266F1"/>
    <w:rsid w:val="00A27936"/>
    <w:rsid w:val="00A2797A"/>
    <w:rsid w:val="00A27A1B"/>
    <w:rsid w:val="00A30519"/>
    <w:rsid w:val="00A309B1"/>
    <w:rsid w:val="00A309B5"/>
    <w:rsid w:val="00A312C7"/>
    <w:rsid w:val="00A313D8"/>
    <w:rsid w:val="00A31D66"/>
    <w:rsid w:val="00A31E5C"/>
    <w:rsid w:val="00A324FA"/>
    <w:rsid w:val="00A325A4"/>
    <w:rsid w:val="00A32940"/>
    <w:rsid w:val="00A32BF6"/>
    <w:rsid w:val="00A32DE3"/>
    <w:rsid w:val="00A32F1B"/>
    <w:rsid w:val="00A33026"/>
    <w:rsid w:val="00A331F5"/>
    <w:rsid w:val="00A33325"/>
    <w:rsid w:val="00A33607"/>
    <w:rsid w:val="00A336A5"/>
    <w:rsid w:val="00A33947"/>
    <w:rsid w:val="00A34384"/>
    <w:rsid w:val="00A3446C"/>
    <w:rsid w:val="00A34C2C"/>
    <w:rsid w:val="00A34D2B"/>
    <w:rsid w:val="00A35B51"/>
    <w:rsid w:val="00A35DF9"/>
    <w:rsid w:val="00A36275"/>
    <w:rsid w:val="00A36983"/>
    <w:rsid w:val="00A36ACD"/>
    <w:rsid w:val="00A37297"/>
    <w:rsid w:val="00A37A57"/>
    <w:rsid w:val="00A37B05"/>
    <w:rsid w:val="00A37CD9"/>
    <w:rsid w:val="00A40208"/>
    <w:rsid w:val="00A40CAB"/>
    <w:rsid w:val="00A40CFF"/>
    <w:rsid w:val="00A4107E"/>
    <w:rsid w:val="00A4111F"/>
    <w:rsid w:val="00A41213"/>
    <w:rsid w:val="00A415E5"/>
    <w:rsid w:val="00A4179C"/>
    <w:rsid w:val="00A41893"/>
    <w:rsid w:val="00A41A12"/>
    <w:rsid w:val="00A41E09"/>
    <w:rsid w:val="00A4295E"/>
    <w:rsid w:val="00A42994"/>
    <w:rsid w:val="00A43072"/>
    <w:rsid w:val="00A432CC"/>
    <w:rsid w:val="00A43335"/>
    <w:rsid w:val="00A434F5"/>
    <w:rsid w:val="00A438A8"/>
    <w:rsid w:val="00A4393C"/>
    <w:rsid w:val="00A43F97"/>
    <w:rsid w:val="00A4423F"/>
    <w:rsid w:val="00A4579D"/>
    <w:rsid w:val="00A45828"/>
    <w:rsid w:val="00A45C54"/>
    <w:rsid w:val="00A46802"/>
    <w:rsid w:val="00A4691B"/>
    <w:rsid w:val="00A46A3D"/>
    <w:rsid w:val="00A46CBB"/>
    <w:rsid w:val="00A47639"/>
    <w:rsid w:val="00A477DD"/>
    <w:rsid w:val="00A47D79"/>
    <w:rsid w:val="00A47FEC"/>
    <w:rsid w:val="00A5092A"/>
    <w:rsid w:val="00A51837"/>
    <w:rsid w:val="00A51AD3"/>
    <w:rsid w:val="00A51AE7"/>
    <w:rsid w:val="00A51DBE"/>
    <w:rsid w:val="00A51DFA"/>
    <w:rsid w:val="00A52A8E"/>
    <w:rsid w:val="00A52D21"/>
    <w:rsid w:val="00A5307C"/>
    <w:rsid w:val="00A5342B"/>
    <w:rsid w:val="00A53BAA"/>
    <w:rsid w:val="00A53F03"/>
    <w:rsid w:val="00A5467A"/>
    <w:rsid w:val="00A54B32"/>
    <w:rsid w:val="00A54F2A"/>
    <w:rsid w:val="00A551BE"/>
    <w:rsid w:val="00A55C76"/>
    <w:rsid w:val="00A55FB3"/>
    <w:rsid w:val="00A561A8"/>
    <w:rsid w:val="00A562ED"/>
    <w:rsid w:val="00A56371"/>
    <w:rsid w:val="00A565FA"/>
    <w:rsid w:val="00A56C97"/>
    <w:rsid w:val="00A56D92"/>
    <w:rsid w:val="00A56E9D"/>
    <w:rsid w:val="00A571B3"/>
    <w:rsid w:val="00A5746B"/>
    <w:rsid w:val="00A575B1"/>
    <w:rsid w:val="00A5766D"/>
    <w:rsid w:val="00A579FB"/>
    <w:rsid w:val="00A57AD2"/>
    <w:rsid w:val="00A57C7C"/>
    <w:rsid w:val="00A57D45"/>
    <w:rsid w:val="00A57F25"/>
    <w:rsid w:val="00A60031"/>
    <w:rsid w:val="00A6038A"/>
    <w:rsid w:val="00A61101"/>
    <w:rsid w:val="00A61838"/>
    <w:rsid w:val="00A61D0B"/>
    <w:rsid w:val="00A61D1B"/>
    <w:rsid w:val="00A622BE"/>
    <w:rsid w:val="00A622F6"/>
    <w:rsid w:val="00A6246A"/>
    <w:rsid w:val="00A62662"/>
    <w:rsid w:val="00A62888"/>
    <w:rsid w:val="00A62948"/>
    <w:rsid w:val="00A62A6D"/>
    <w:rsid w:val="00A6306B"/>
    <w:rsid w:val="00A630CD"/>
    <w:rsid w:val="00A63150"/>
    <w:rsid w:val="00A63612"/>
    <w:rsid w:val="00A63BDE"/>
    <w:rsid w:val="00A6480F"/>
    <w:rsid w:val="00A64830"/>
    <w:rsid w:val="00A64AE3"/>
    <w:rsid w:val="00A65435"/>
    <w:rsid w:val="00A65759"/>
    <w:rsid w:val="00A657C6"/>
    <w:rsid w:val="00A658A6"/>
    <w:rsid w:val="00A659F7"/>
    <w:rsid w:val="00A662BB"/>
    <w:rsid w:val="00A66525"/>
    <w:rsid w:val="00A6773D"/>
    <w:rsid w:val="00A6795A"/>
    <w:rsid w:val="00A67A92"/>
    <w:rsid w:val="00A67AAF"/>
    <w:rsid w:val="00A70457"/>
    <w:rsid w:val="00A704C4"/>
    <w:rsid w:val="00A70D38"/>
    <w:rsid w:val="00A70F33"/>
    <w:rsid w:val="00A7117A"/>
    <w:rsid w:val="00A71219"/>
    <w:rsid w:val="00A7121F"/>
    <w:rsid w:val="00A71244"/>
    <w:rsid w:val="00A718F3"/>
    <w:rsid w:val="00A72545"/>
    <w:rsid w:val="00A72730"/>
    <w:rsid w:val="00A729A4"/>
    <w:rsid w:val="00A729F1"/>
    <w:rsid w:val="00A72CF5"/>
    <w:rsid w:val="00A72EC9"/>
    <w:rsid w:val="00A72ECB"/>
    <w:rsid w:val="00A73E0B"/>
    <w:rsid w:val="00A74239"/>
    <w:rsid w:val="00A752A7"/>
    <w:rsid w:val="00A752B5"/>
    <w:rsid w:val="00A754B6"/>
    <w:rsid w:val="00A754CE"/>
    <w:rsid w:val="00A75A10"/>
    <w:rsid w:val="00A762D9"/>
    <w:rsid w:val="00A7633A"/>
    <w:rsid w:val="00A767D7"/>
    <w:rsid w:val="00A76B6A"/>
    <w:rsid w:val="00A76D1C"/>
    <w:rsid w:val="00A76D8A"/>
    <w:rsid w:val="00A76EC8"/>
    <w:rsid w:val="00A7758E"/>
    <w:rsid w:val="00A777D7"/>
    <w:rsid w:val="00A77DE7"/>
    <w:rsid w:val="00A802A3"/>
    <w:rsid w:val="00A8150C"/>
    <w:rsid w:val="00A81756"/>
    <w:rsid w:val="00A8191F"/>
    <w:rsid w:val="00A81A8A"/>
    <w:rsid w:val="00A8201C"/>
    <w:rsid w:val="00A822CC"/>
    <w:rsid w:val="00A82488"/>
    <w:rsid w:val="00A82CC5"/>
    <w:rsid w:val="00A82F38"/>
    <w:rsid w:val="00A82F3A"/>
    <w:rsid w:val="00A8302C"/>
    <w:rsid w:val="00A8326C"/>
    <w:rsid w:val="00A83626"/>
    <w:rsid w:val="00A83C11"/>
    <w:rsid w:val="00A83ED2"/>
    <w:rsid w:val="00A85028"/>
    <w:rsid w:val="00A850FD"/>
    <w:rsid w:val="00A856CD"/>
    <w:rsid w:val="00A856FA"/>
    <w:rsid w:val="00A859A7"/>
    <w:rsid w:val="00A87849"/>
    <w:rsid w:val="00A87981"/>
    <w:rsid w:val="00A87D2F"/>
    <w:rsid w:val="00A87E00"/>
    <w:rsid w:val="00A87F33"/>
    <w:rsid w:val="00A90041"/>
    <w:rsid w:val="00A9076A"/>
    <w:rsid w:val="00A907EC"/>
    <w:rsid w:val="00A91877"/>
    <w:rsid w:val="00A91DFB"/>
    <w:rsid w:val="00A9225D"/>
    <w:rsid w:val="00A9232D"/>
    <w:rsid w:val="00A925C2"/>
    <w:rsid w:val="00A93760"/>
    <w:rsid w:val="00A937BC"/>
    <w:rsid w:val="00A9389F"/>
    <w:rsid w:val="00A93D84"/>
    <w:rsid w:val="00A93ED5"/>
    <w:rsid w:val="00A9429A"/>
    <w:rsid w:val="00A942C6"/>
    <w:rsid w:val="00A9486D"/>
    <w:rsid w:val="00A94B7F"/>
    <w:rsid w:val="00A954C3"/>
    <w:rsid w:val="00A96119"/>
    <w:rsid w:val="00A96723"/>
    <w:rsid w:val="00A96CB6"/>
    <w:rsid w:val="00A97738"/>
    <w:rsid w:val="00A97818"/>
    <w:rsid w:val="00A97BC7"/>
    <w:rsid w:val="00A97C59"/>
    <w:rsid w:val="00A97EA8"/>
    <w:rsid w:val="00AA07C2"/>
    <w:rsid w:val="00AA0A6B"/>
    <w:rsid w:val="00AA0B97"/>
    <w:rsid w:val="00AA1352"/>
    <w:rsid w:val="00AA1550"/>
    <w:rsid w:val="00AA1F8F"/>
    <w:rsid w:val="00AA2003"/>
    <w:rsid w:val="00AA209B"/>
    <w:rsid w:val="00AA2442"/>
    <w:rsid w:val="00AA26D4"/>
    <w:rsid w:val="00AA2CAC"/>
    <w:rsid w:val="00AA2F8F"/>
    <w:rsid w:val="00AA340A"/>
    <w:rsid w:val="00AA36B8"/>
    <w:rsid w:val="00AA3BAC"/>
    <w:rsid w:val="00AA3C62"/>
    <w:rsid w:val="00AA485B"/>
    <w:rsid w:val="00AA4FAE"/>
    <w:rsid w:val="00AA4FC3"/>
    <w:rsid w:val="00AA54F4"/>
    <w:rsid w:val="00AA568F"/>
    <w:rsid w:val="00AA58F5"/>
    <w:rsid w:val="00AA5D82"/>
    <w:rsid w:val="00AA62F5"/>
    <w:rsid w:val="00AA68C6"/>
    <w:rsid w:val="00AA6F6B"/>
    <w:rsid w:val="00AA7214"/>
    <w:rsid w:val="00AA7C36"/>
    <w:rsid w:val="00AA7F2A"/>
    <w:rsid w:val="00AB0BA1"/>
    <w:rsid w:val="00AB0FC3"/>
    <w:rsid w:val="00AB1128"/>
    <w:rsid w:val="00AB1219"/>
    <w:rsid w:val="00AB202E"/>
    <w:rsid w:val="00AB2B89"/>
    <w:rsid w:val="00AB30F8"/>
    <w:rsid w:val="00AB3261"/>
    <w:rsid w:val="00AB3598"/>
    <w:rsid w:val="00AB448A"/>
    <w:rsid w:val="00AB47DF"/>
    <w:rsid w:val="00AB4FA4"/>
    <w:rsid w:val="00AB5084"/>
    <w:rsid w:val="00AB6073"/>
    <w:rsid w:val="00AB642E"/>
    <w:rsid w:val="00AB65C3"/>
    <w:rsid w:val="00AB6C98"/>
    <w:rsid w:val="00AB6FC9"/>
    <w:rsid w:val="00AB74DE"/>
    <w:rsid w:val="00AB7731"/>
    <w:rsid w:val="00AC0392"/>
    <w:rsid w:val="00AC15F3"/>
    <w:rsid w:val="00AC172A"/>
    <w:rsid w:val="00AC1D3B"/>
    <w:rsid w:val="00AC1FF3"/>
    <w:rsid w:val="00AC20B3"/>
    <w:rsid w:val="00AC259F"/>
    <w:rsid w:val="00AC28A9"/>
    <w:rsid w:val="00AC2DCD"/>
    <w:rsid w:val="00AC38DE"/>
    <w:rsid w:val="00AC3A5D"/>
    <w:rsid w:val="00AC3CBA"/>
    <w:rsid w:val="00AC4153"/>
    <w:rsid w:val="00AC4491"/>
    <w:rsid w:val="00AC4A11"/>
    <w:rsid w:val="00AC508F"/>
    <w:rsid w:val="00AC5C7A"/>
    <w:rsid w:val="00AC5DCE"/>
    <w:rsid w:val="00AC5E96"/>
    <w:rsid w:val="00AC5F78"/>
    <w:rsid w:val="00AC5FA3"/>
    <w:rsid w:val="00AC6622"/>
    <w:rsid w:val="00AC6667"/>
    <w:rsid w:val="00AC6744"/>
    <w:rsid w:val="00AC68EA"/>
    <w:rsid w:val="00AC6C33"/>
    <w:rsid w:val="00AC6D41"/>
    <w:rsid w:val="00AC6DD5"/>
    <w:rsid w:val="00AC6E2D"/>
    <w:rsid w:val="00AC7ECE"/>
    <w:rsid w:val="00AD0BF4"/>
    <w:rsid w:val="00AD1783"/>
    <w:rsid w:val="00AD195C"/>
    <w:rsid w:val="00AD1C47"/>
    <w:rsid w:val="00AD1C8C"/>
    <w:rsid w:val="00AD2199"/>
    <w:rsid w:val="00AD29E4"/>
    <w:rsid w:val="00AD2A87"/>
    <w:rsid w:val="00AD2CCC"/>
    <w:rsid w:val="00AD36FD"/>
    <w:rsid w:val="00AD374D"/>
    <w:rsid w:val="00AD3758"/>
    <w:rsid w:val="00AD3F0E"/>
    <w:rsid w:val="00AD406B"/>
    <w:rsid w:val="00AD4269"/>
    <w:rsid w:val="00AD4832"/>
    <w:rsid w:val="00AD4DC3"/>
    <w:rsid w:val="00AD4E06"/>
    <w:rsid w:val="00AD5A95"/>
    <w:rsid w:val="00AD5DB3"/>
    <w:rsid w:val="00AD67BB"/>
    <w:rsid w:val="00AD6831"/>
    <w:rsid w:val="00AD6B3E"/>
    <w:rsid w:val="00AD6C61"/>
    <w:rsid w:val="00AD6EEF"/>
    <w:rsid w:val="00AD7B61"/>
    <w:rsid w:val="00AD7E7C"/>
    <w:rsid w:val="00AE03BB"/>
    <w:rsid w:val="00AE0533"/>
    <w:rsid w:val="00AE0C39"/>
    <w:rsid w:val="00AE0FD3"/>
    <w:rsid w:val="00AE17F6"/>
    <w:rsid w:val="00AE296B"/>
    <w:rsid w:val="00AE2CA0"/>
    <w:rsid w:val="00AE3232"/>
    <w:rsid w:val="00AE3753"/>
    <w:rsid w:val="00AE3899"/>
    <w:rsid w:val="00AE3A42"/>
    <w:rsid w:val="00AE3A94"/>
    <w:rsid w:val="00AE3AFA"/>
    <w:rsid w:val="00AE4014"/>
    <w:rsid w:val="00AE4B42"/>
    <w:rsid w:val="00AE4CBB"/>
    <w:rsid w:val="00AE536D"/>
    <w:rsid w:val="00AE5440"/>
    <w:rsid w:val="00AE582C"/>
    <w:rsid w:val="00AE5A65"/>
    <w:rsid w:val="00AE6E8A"/>
    <w:rsid w:val="00AE6F55"/>
    <w:rsid w:val="00AE732B"/>
    <w:rsid w:val="00AE7942"/>
    <w:rsid w:val="00AE7996"/>
    <w:rsid w:val="00AE7BC2"/>
    <w:rsid w:val="00AF0176"/>
    <w:rsid w:val="00AF0318"/>
    <w:rsid w:val="00AF042F"/>
    <w:rsid w:val="00AF0798"/>
    <w:rsid w:val="00AF07AF"/>
    <w:rsid w:val="00AF0E33"/>
    <w:rsid w:val="00AF10FE"/>
    <w:rsid w:val="00AF1188"/>
    <w:rsid w:val="00AF1219"/>
    <w:rsid w:val="00AF127F"/>
    <w:rsid w:val="00AF2158"/>
    <w:rsid w:val="00AF22EF"/>
    <w:rsid w:val="00AF29A7"/>
    <w:rsid w:val="00AF34B8"/>
    <w:rsid w:val="00AF3DB9"/>
    <w:rsid w:val="00AF3F7B"/>
    <w:rsid w:val="00AF4322"/>
    <w:rsid w:val="00AF465B"/>
    <w:rsid w:val="00AF49A6"/>
    <w:rsid w:val="00AF58BA"/>
    <w:rsid w:val="00AF5B93"/>
    <w:rsid w:val="00AF5CC9"/>
    <w:rsid w:val="00AF5D9F"/>
    <w:rsid w:val="00AF65E0"/>
    <w:rsid w:val="00AF684F"/>
    <w:rsid w:val="00AF6B13"/>
    <w:rsid w:val="00AF6E52"/>
    <w:rsid w:val="00AF70B9"/>
    <w:rsid w:val="00AF743B"/>
    <w:rsid w:val="00AF75BB"/>
    <w:rsid w:val="00B000E6"/>
    <w:rsid w:val="00B004C7"/>
    <w:rsid w:val="00B00815"/>
    <w:rsid w:val="00B00D0C"/>
    <w:rsid w:val="00B00F58"/>
    <w:rsid w:val="00B025D1"/>
    <w:rsid w:val="00B02D2A"/>
    <w:rsid w:val="00B0301B"/>
    <w:rsid w:val="00B034E8"/>
    <w:rsid w:val="00B0360A"/>
    <w:rsid w:val="00B03903"/>
    <w:rsid w:val="00B03997"/>
    <w:rsid w:val="00B039B4"/>
    <w:rsid w:val="00B041A0"/>
    <w:rsid w:val="00B04380"/>
    <w:rsid w:val="00B04AA0"/>
    <w:rsid w:val="00B0501D"/>
    <w:rsid w:val="00B05433"/>
    <w:rsid w:val="00B05B38"/>
    <w:rsid w:val="00B05D2C"/>
    <w:rsid w:val="00B07109"/>
    <w:rsid w:val="00B07243"/>
    <w:rsid w:val="00B07AC8"/>
    <w:rsid w:val="00B07B03"/>
    <w:rsid w:val="00B07E76"/>
    <w:rsid w:val="00B1022D"/>
    <w:rsid w:val="00B102AD"/>
    <w:rsid w:val="00B10C67"/>
    <w:rsid w:val="00B11063"/>
    <w:rsid w:val="00B11091"/>
    <w:rsid w:val="00B1134B"/>
    <w:rsid w:val="00B1144B"/>
    <w:rsid w:val="00B1212B"/>
    <w:rsid w:val="00B12D83"/>
    <w:rsid w:val="00B13328"/>
    <w:rsid w:val="00B13809"/>
    <w:rsid w:val="00B13A88"/>
    <w:rsid w:val="00B13B64"/>
    <w:rsid w:val="00B13F9D"/>
    <w:rsid w:val="00B1438A"/>
    <w:rsid w:val="00B144EC"/>
    <w:rsid w:val="00B15388"/>
    <w:rsid w:val="00B154D7"/>
    <w:rsid w:val="00B1608F"/>
    <w:rsid w:val="00B160B8"/>
    <w:rsid w:val="00B164C6"/>
    <w:rsid w:val="00B166D0"/>
    <w:rsid w:val="00B168CF"/>
    <w:rsid w:val="00B16A78"/>
    <w:rsid w:val="00B16B92"/>
    <w:rsid w:val="00B176CD"/>
    <w:rsid w:val="00B17810"/>
    <w:rsid w:val="00B20B7A"/>
    <w:rsid w:val="00B20D5C"/>
    <w:rsid w:val="00B2156C"/>
    <w:rsid w:val="00B21EFC"/>
    <w:rsid w:val="00B22A7E"/>
    <w:rsid w:val="00B230CB"/>
    <w:rsid w:val="00B233A3"/>
    <w:rsid w:val="00B23B8E"/>
    <w:rsid w:val="00B23E15"/>
    <w:rsid w:val="00B2419B"/>
    <w:rsid w:val="00B241A5"/>
    <w:rsid w:val="00B24B9F"/>
    <w:rsid w:val="00B24E69"/>
    <w:rsid w:val="00B24F47"/>
    <w:rsid w:val="00B25622"/>
    <w:rsid w:val="00B25787"/>
    <w:rsid w:val="00B2591D"/>
    <w:rsid w:val="00B2671C"/>
    <w:rsid w:val="00B276A6"/>
    <w:rsid w:val="00B27F48"/>
    <w:rsid w:val="00B30414"/>
    <w:rsid w:val="00B30B5E"/>
    <w:rsid w:val="00B30EFE"/>
    <w:rsid w:val="00B31872"/>
    <w:rsid w:val="00B31927"/>
    <w:rsid w:val="00B31B88"/>
    <w:rsid w:val="00B323B8"/>
    <w:rsid w:val="00B323DA"/>
    <w:rsid w:val="00B32404"/>
    <w:rsid w:val="00B32880"/>
    <w:rsid w:val="00B32F9D"/>
    <w:rsid w:val="00B3310E"/>
    <w:rsid w:val="00B33425"/>
    <w:rsid w:val="00B33C6A"/>
    <w:rsid w:val="00B33DCC"/>
    <w:rsid w:val="00B33F10"/>
    <w:rsid w:val="00B3430F"/>
    <w:rsid w:val="00B343E7"/>
    <w:rsid w:val="00B3454D"/>
    <w:rsid w:val="00B348AC"/>
    <w:rsid w:val="00B349EE"/>
    <w:rsid w:val="00B35421"/>
    <w:rsid w:val="00B360CE"/>
    <w:rsid w:val="00B3687B"/>
    <w:rsid w:val="00B3786A"/>
    <w:rsid w:val="00B37C61"/>
    <w:rsid w:val="00B37CE8"/>
    <w:rsid w:val="00B40082"/>
    <w:rsid w:val="00B40713"/>
    <w:rsid w:val="00B40954"/>
    <w:rsid w:val="00B40AD1"/>
    <w:rsid w:val="00B40FAD"/>
    <w:rsid w:val="00B41602"/>
    <w:rsid w:val="00B41DA2"/>
    <w:rsid w:val="00B423AD"/>
    <w:rsid w:val="00B42901"/>
    <w:rsid w:val="00B42CD6"/>
    <w:rsid w:val="00B42EB2"/>
    <w:rsid w:val="00B43186"/>
    <w:rsid w:val="00B43359"/>
    <w:rsid w:val="00B4357E"/>
    <w:rsid w:val="00B4358D"/>
    <w:rsid w:val="00B43913"/>
    <w:rsid w:val="00B43D6A"/>
    <w:rsid w:val="00B443DC"/>
    <w:rsid w:val="00B45112"/>
    <w:rsid w:val="00B459C1"/>
    <w:rsid w:val="00B45E3A"/>
    <w:rsid w:val="00B462F0"/>
    <w:rsid w:val="00B46B64"/>
    <w:rsid w:val="00B46BFC"/>
    <w:rsid w:val="00B474B0"/>
    <w:rsid w:val="00B47749"/>
    <w:rsid w:val="00B47888"/>
    <w:rsid w:val="00B47FDC"/>
    <w:rsid w:val="00B50351"/>
    <w:rsid w:val="00B50995"/>
    <w:rsid w:val="00B50BF1"/>
    <w:rsid w:val="00B50D3F"/>
    <w:rsid w:val="00B510B2"/>
    <w:rsid w:val="00B514D7"/>
    <w:rsid w:val="00B51A8B"/>
    <w:rsid w:val="00B51D56"/>
    <w:rsid w:val="00B52826"/>
    <w:rsid w:val="00B52A1F"/>
    <w:rsid w:val="00B52C79"/>
    <w:rsid w:val="00B52D91"/>
    <w:rsid w:val="00B52F6C"/>
    <w:rsid w:val="00B5334B"/>
    <w:rsid w:val="00B5343B"/>
    <w:rsid w:val="00B53511"/>
    <w:rsid w:val="00B5366D"/>
    <w:rsid w:val="00B53681"/>
    <w:rsid w:val="00B53B5F"/>
    <w:rsid w:val="00B53E4B"/>
    <w:rsid w:val="00B53F66"/>
    <w:rsid w:val="00B5424D"/>
    <w:rsid w:val="00B54EAD"/>
    <w:rsid w:val="00B55317"/>
    <w:rsid w:val="00B55B3A"/>
    <w:rsid w:val="00B55E2E"/>
    <w:rsid w:val="00B56071"/>
    <w:rsid w:val="00B5683F"/>
    <w:rsid w:val="00B5751A"/>
    <w:rsid w:val="00B577B4"/>
    <w:rsid w:val="00B6113A"/>
    <w:rsid w:val="00B61F00"/>
    <w:rsid w:val="00B62128"/>
    <w:rsid w:val="00B62138"/>
    <w:rsid w:val="00B626B1"/>
    <w:rsid w:val="00B62A97"/>
    <w:rsid w:val="00B62F0C"/>
    <w:rsid w:val="00B6381C"/>
    <w:rsid w:val="00B638E2"/>
    <w:rsid w:val="00B640B5"/>
    <w:rsid w:val="00B642D4"/>
    <w:rsid w:val="00B643C3"/>
    <w:rsid w:val="00B65098"/>
    <w:rsid w:val="00B657FD"/>
    <w:rsid w:val="00B65CA2"/>
    <w:rsid w:val="00B6632F"/>
    <w:rsid w:val="00B663D0"/>
    <w:rsid w:val="00B669B3"/>
    <w:rsid w:val="00B67191"/>
    <w:rsid w:val="00B67428"/>
    <w:rsid w:val="00B67832"/>
    <w:rsid w:val="00B704BD"/>
    <w:rsid w:val="00B706F3"/>
    <w:rsid w:val="00B70CB8"/>
    <w:rsid w:val="00B71A82"/>
    <w:rsid w:val="00B71CEF"/>
    <w:rsid w:val="00B72693"/>
    <w:rsid w:val="00B73719"/>
    <w:rsid w:val="00B74019"/>
    <w:rsid w:val="00B740E2"/>
    <w:rsid w:val="00B744BC"/>
    <w:rsid w:val="00B745A3"/>
    <w:rsid w:val="00B746CC"/>
    <w:rsid w:val="00B74EEB"/>
    <w:rsid w:val="00B758E1"/>
    <w:rsid w:val="00B75EB7"/>
    <w:rsid w:val="00B7628E"/>
    <w:rsid w:val="00B762A1"/>
    <w:rsid w:val="00B76840"/>
    <w:rsid w:val="00B76B57"/>
    <w:rsid w:val="00B76CDA"/>
    <w:rsid w:val="00B76DBC"/>
    <w:rsid w:val="00B770D7"/>
    <w:rsid w:val="00B77411"/>
    <w:rsid w:val="00B77ED7"/>
    <w:rsid w:val="00B800B0"/>
    <w:rsid w:val="00B8019B"/>
    <w:rsid w:val="00B801B6"/>
    <w:rsid w:val="00B8036E"/>
    <w:rsid w:val="00B80AFA"/>
    <w:rsid w:val="00B80FF0"/>
    <w:rsid w:val="00B81177"/>
    <w:rsid w:val="00B8162A"/>
    <w:rsid w:val="00B81EFF"/>
    <w:rsid w:val="00B820DE"/>
    <w:rsid w:val="00B82910"/>
    <w:rsid w:val="00B837C1"/>
    <w:rsid w:val="00B83AEF"/>
    <w:rsid w:val="00B83B55"/>
    <w:rsid w:val="00B83EAD"/>
    <w:rsid w:val="00B84758"/>
    <w:rsid w:val="00B8484F"/>
    <w:rsid w:val="00B84B3E"/>
    <w:rsid w:val="00B850D9"/>
    <w:rsid w:val="00B85E34"/>
    <w:rsid w:val="00B86550"/>
    <w:rsid w:val="00B865EB"/>
    <w:rsid w:val="00B8671F"/>
    <w:rsid w:val="00B86994"/>
    <w:rsid w:val="00B869A8"/>
    <w:rsid w:val="00B86B65"/>
    <w:rsid w:val="00B86D53"/>
    <w:rsid w:val="00B872A0"/>
    <w:rsid w:val="00B87995"/>
    <w:rsid w:val="00B87DE3"/>
    <w:rsid w:val="00B911E2"/>
    <w:rsid w:val="00B920F3"/>
    <w:rsid w:val="00B92918"/>
    <w:rsid w:val="00B92D46"/>
    <w:rsid w:val="00B92E71"/>
    <w:rsid w:val="00B93D19"/>
    <w:rsid w:val="00B94140"/>
    <w:rsid w:val="00B941C0"/>
    <w:rsid w:val="00B94C09"/>
    <w:rsid w:val="00B950D3"/>
    <w:rsid w:val="00B9523A"/>
    <w:rsid w:val="00B95905"/>
    <w:rsid w:val="00B95986"/>
    <w:rsid w:val="00B95C50"/>
    <w:rsid w:val="00B969EC"/>
    <w:rsid w:val="00B96C72"/>
    <w:rsid w:val="00B96E42"/>
    <w:rsid w:val="00B9705B"/>
    <w:rsid w:val="00B97289"/>
    <w:rsid w:val="00B97433"/>
    <w:rsid w:val="00B97787"/>
    <w:rsid w:val="00B97805"/>
    <w:rsid w:val="00B978A9"/>
    <w:rsid w:val="00B97B7E"/>
    <w:rsid w:val="00B97DF4"/>
    <w:rsid w:val="00BA01CC"/>
    <w:rsid w:val="00BA0A0B"/>
    <w:rsid w:val="00BA0E45"/>
    <w:rsid w:val="00BA1057"/>
    <w:rsid w:val="00BA13C3"/>
    <w:rsid w:val="00BA1A3F"/>
    <w:rsid w:val="00BA2BF6"/>
    <w:rsid w:val="00BA30D3"/>
    <w:rsid w:val="00BA3D42"/>
    <w:rsid w:val="00BA466D"/>
    <w:rsid w:val="00BA4F74"/>
    <w:rsid w:val="00BA5697"/>
    <w:rsid w:val="00BA5971"/>
    <w:rsid w:val="00BA59C2"/>
    <w:rsid w:val="00BA5BDE"/>
    <w:rsid w:val="00BA5F68"/>
    <w:rsid w:val="00BA63F4"/>
    <w:rsid w:val="00BA68F6"/>
    <w:rsid w:val="00BA705D"/>
    <w:rsid w:val="00BA70A9"/>
    <w:rsid w:val="00BA7842"/>
    <w:rsid w:val="00BB0067"/>
    <w:rsid w:val="00BB0773"/>
    <w:rsid w:val="00BB081A"/>
    <w:rsid w:val="00BB08A8"/>
    <w:rsid w:val="00BB1215"/>
    <w:rsid w:val="00BB12FC"/>
    <w:rsid w:val="00BB15AB"/>
    <w:rsid w:val="00BB162D"/>
    <w:rsid w:val="00BB1906"/>
    <w:rsid w:val="00BB2216"/>
    <w:rsid w:val="00BB244E"/>
    <w:rsid w:val="00BB2961"/>
    <w:rsid w:val="00BB2DCD"/>
    <w:rsid w:val="00BB2FA6"/>
    <w:rsid w:val="00BB31C7"/>
    <w:rsid w:val="00BB35B0"/>
    <w:rsid w:val="00BB3911"/>
    <w:rsid w:val="00BB3930"/>
    <w:rsid w:val="00BB3AD1"/>
    <w:rsid w:val="00BB3D78"/>
    <w:rsid w:val="00BB3E26"/>
    <w:rsid w:val="00BB3EBD"/>
    <w:rsid w:val="00BB43B0"/>
    <w:rsid w:val="00BB4477"/>
    <w:rsid w:val="00BB4565"/>
    <w:rsid w:val="00BB4653"/>
    <w:rsid w:val="00BB5516"/>
    <w:rsid w:val="00BB5ED7"/>
    <w:rsid w:val="00BB6801"/>
    <w:rsid w:val="00BB71D7"/>
    <w:rsid w:val="00BB7280"/>
    <w:rsid w:val="00BB7312"/>
    <w:rsid w:val="00BB7B3C"/>
    <w:rsid w:val="00BB7C33"/>
    <w:rsid w:val="00BB7F13"/>
    <w:rsid w:val="00BC0096"/>
    <w:rsid w:val="00BC031E"/>
    <w:rsid w:val="00BC0363"/>
    <w:rsid w:val="00BC0914"/>
    <w:rsid w:val="00BC1D76"/>
    <w:rsid w:val="00BC1F69"/>
    <w:rsid w:val="00BC20D9"/>
    <w:rsid w:val="00BC2422"/>
    <w:rsid w:val="00BC2503"/>
    <w:rsid w:val="00BC290E"/>
    <w:rsid w:val="00BC2D0C"/>
    <w:rsid w:val="00BC35A2"/>
    <w:rsid w:val="00BC46CF"/>
    <w:rsid w:val="00BC47C6"/>
    <w:rsid w:val="00BC48A8"/>
    <w:rsid w:val="00BC49EF"/>
    <w:rsid w:val="00BC5AF9"/>
    <w:rsid w:val="00BC5E44"/>
    <w:rsid w:val="00BC60EF"/>
    <w:rsid w:val="00BC6763"/>
    <w:rsid w:val="00BC79D4"/>
    <w:rsid w:val="00BD075A"/>
    <w:rsid w:val="00BD09BA"/>
    <w:rsid w:val="00BD0A21"/>
    <w:rsid w:val="00BD0E7B"/>
    <w:rsid w:val="00BD0EDB"/>
    <w:rsid w:val="00BD1622"/>
    <w:rsid w:val="00BD2B35"/>
    <w:rsid w:val="00BD34C0"/>
    <w:rsid w:val="00BD354F"/>
    <w:rsid w:val="00BD35BB"/>
    <w:rsid w:val="00BD4585"/>
    <w:rsid w:val="00BD4607"/>
    <w:rsid w:val="00BD5106"/>
    <w:rsid w:val="00BD529A"/>
    <w:rsid w:val="00BD55E1"/>
    <w:rsid w:val="00BD5AEA"/>
    <w:rsid w:val="00BD5F7C"/>
    <w:rsid w:val="00BD640E"/>
    <w:rsid w:val="00BD6FC0"/>
    <w:rsid w:val="00BD7A58"/>
    <w:rsid w:val="00BD7B8A"/>
    <w:rsid w:val="00BD7C25"/>
    <w:rsid w:val="00BE0077"/>
    <w:rsid w:val="00BE05E2"/>
    <w:rsid w:val="00BE060B"/>
    <w:rsid w:val="00BE06ED"/>
    <w:rsid w:val="00BE0BA5"/>
    <w:rsid w:val="00BE0C04"/>
    <w:rsid w:val="00BE0CBF"/>
    <w:rsid w:val="00BE10BA"/>
    <w:rsid w:val="00BE19B0"/>
    <w:rsid w:val="00BE36E1"/>
    <w:rsid w:val="00BE42BE"/>
    <w:rsid w:val="00BE43C0"/>
    <w:rsid w:val="00BE44F3"/>
    <w:rsid w:val="00BE4A8B"/>
    <w:rsid w:val="00BE4B7E"/>
    <w:rsid w:val="00BE4C08"/>
    <w:rsid w:val="00BE507C"/>
    <w:rsid w:val="00BE53A5"/>
    <w:rsid w:val="00BE54D5"/>
    <w:rsid w:val="00BE57ED"/>
    <w:rsid w:val="00BE5B27"/>
    <w:rsid w:val="00BE5E09"/>
    <w:rsid w:val="00BE5E93"/>
    <w:rsid w:val="00BE62F3"/>
    <w:rsid w:val="00BE68CB"/>
    <w:rsid w:val="00BE6A77"/>
    <w:rsid w:val="00BE702F"/>
    <w:rsid w:val="00BE79A6"/>
    <w:rsid w:val="00BF015E"/>
    <w:rsid w:val="00BF01DF"/>
    <w:rsid w:val="00BF032A"/>
    <w:rsid w:val="00BF0BA8"/>
    <w:rsid w:val="00BF2E33"/>
    <w:rsid w:val="00BF2FBF"/>
    <w:rsid w:val="00BF35BC"/>
    <w:rsid w:val="00BF3B22"/>
    <w:rsid w:val="00BF4100"/>
    <w:rsid w:val="00BF4458"/>
    <w:rsid w:val="00BF486D"/>
    <w:rsid w:val="00BF48C5"/>
    <w:rsid w:val="00BF48FA"/>
    <w:rsid w:val="00BF497C"/>
    <w:rsid w:val="00BF6D60"/>
    <w:rsid w:val="00BF7377"/>
    <w:rsid w:val="00C00370"/>
    <w:rsid w:val="00C004CD"/>
    <w:rsid w:val="00C0057C"/>
    <w:rsid w:val="00C00927"/>
    <w:rsid w:val="00C00DA3"/>
    <w:rsid w:val="00C00DB9"/>
    <w:rsid w:val="00C00F18"/>
    <w:rsid w:val="00C00FCB"/>
    <w:rsid w:val="00C01167"/>
    <w:rsid w:val="00C01578"/>
    <w:rsid w:val="00C024C9"/>
    <w:rsid w:val="00C02696"/>
    <w:rsid w:val="00C02B62"/>
    <w:rsid w:val="00C03759"/>
    <w:rsid w:val="00C04999"/>
    <w:rsid w:val="00C04B5D"/>
    <w:rsid w:val="00C04F87"/>
    <w:rsid w:val="00C0531F"/>
    <w:rsid w:val="00C05DFF"/>
    <w:rsid w:val="00C07324"/>
    <w:rsid w:val="00C07789"/>
    <w:rsid w:val="00C07812"/>
    <w:rsid w:val="00C0787F"/>
    <w:rsid w:val="00C07A37"/>
    <w:rsid w:val="00C1093B"/>
    <w:rsid w:val="00C10EA1"/>
    <w:rsid w:val="00C115D4"/>
    <w:rsid w:val="00C11607"/>
    <w:rsid w:val="00C11D3C"/>
    <w:rsid w:val="00C11E14"/>
    <w:rsid w:val="00C11FB8"/>
    <w:rsid w:val="00C12210"/>
    <w:rsid w:val="00C12DC1"/>
    <w:rsid w:val="00C13134"/>
    <w:rsid w:val="00C145BA"/>
    <w:rsid w:val="00C1531C"/>
    <w:rsid w:val="00C1542D"/>
    <w:rsid w:val="00C157C9"/>
    <w:rsid w:val="00C15964"/>
    <w:rsid w:val="00C15C21"/>
    <w:rsid w:val="00C16743"/>
    <w:rsid w:val="00C168B1"/>
    <w:rsid w:val="00C16F1C"/>
    <w:rsid w:val="00C16F6F"/>
    <w:rsid w:val="00C17125"/>
    <w:rsid w:val="00C17516"/>
    <w:rsid w:val="00C17B7F"/>
    <w:rsid w:val="00C17CB3"/>
    <w:rsid w:val="00C20188"/>
    <w:rsid w:val="00C203F4"/>
    <w:rsid w:val="00C208E1"/>
    <w:rsid w:val="00C20E48"/>
    <w:rsid w:val="00C211B9"/>
    <w:rsid w:val="00C21247"/>
    <w:rsid w:val="00C213A2"/>
    <w:rsid w:val="00C2140F"/>
    <w:rsid w:val="00C21772"/>
    <w:rsid w:val="00C21972"/>
    <w:rsid w:val="00C21BCB"/>
    <w:rsid w:val="00C222EF"/>
    <w:rsid w:val="00C226C7"/>
    <w:rsid w:val="00C23287"/>
    <w:rsid w:val="00C2388A"/>
    <w:rsid w:val="00C23B68"/>
    <w:rsid w:val="00C24116"/>
    <w:rsid w:val="00C24A80"/>
    <w:rsid w:val="00C24B57"/>
    <w:rsid w:val="00C24EF5"/>
    <w:rsid w:val="00C258B1"/>
    <w:rsid w:val="00C2657B"/>
    <w:rsid w:val="00C266A8"/>
    <w:rsid w:val="00C26A79"/>
    <w:rsid w:val="00C272D4"/>
    <w:rsid w:val="00C2737B"/>
    <w:rsid w:val="00C274CE"/>
    <w:rsid w:val="00C2796B"/>
    <w:rsid w:val="00C3000D"/>
    <w:rsid w:val="00C30514"/>
    <w:rsid w:val="00C30783"/>
    <w:rsid w:val="00C31E81"/>
    <w:rsid w:val="00C31F32"/>
    <w:rsid w:val="00C320B6"/>
    <w:rsid w:val="00C3210E"/>
    <w:rsid w:val="00C329E8"/>
    <w:rsid w:val="00C32B13"/>
    <w:rsid w:val="00C32D74"/>
    <w:rsid w:val="00C33C03"/>
    <w:rsid w:val="00C34562"/>
    <w:rsid w:val="00C352DE"/>
    <w:rsid w:val="00C35712"/>
    <w:rsid w:val="00C359A9"/>
    <w:rsid w:val="00C35E9D"/>
    <w:rsid w:val="00C3695F"/>
    <w:rsid w:val="00C36A36"/>
    <w:rsid w:val="00C36E47"/>
    <w:rsid w:val="00C37F2D"/>
    <w:rsid w:val="00C4008E"/>
    <w:rsid w:val="00C409B4"/>
    <w:rsid w:val="00C4165D"/>
    <w:rsid w:val="00C41D36"/>
    <w:rsid w:val="00C41FF8"/>
    <w:rsid w:val="00C4215A"/>
    <w:rsid w:val="00C42318"/>
    <w:rsid w:val="00C4236C"/>
    <w:rsid w:val="00C423A4"/>
    <w:rsid w:val="00C4294C"/>
    <w:rsid w:val="00C42C22"/>
    <w:rsid w:val="00C43037"/>
    <w:rsid w:val="00C43461"/>
    <w:rsid w:val="00C43B71"/>
    <w:rsid w:val="00C43ECD"/>
    <w:rsid w:val="00C4420E"/>
    <w:rsid w:val="00C445D0"/>
    <w:rsid w:val="00C44ED1"/>
    <w:rsid w:val="00C450B3"/>
    <w:rsid w:val="00C463AE"/>
    <w:rsid w:val="00C467B3"/>
    <w:rsid w:val="00C46909"/>
    <w:rsid w:val="00C46AD4"/>
    <w:rsid w:val="00C46C11"/>
    <w:rsid w:val="00C46C6C"/>
    <w:rsid w:val="00C46E90"/>
    <w:rsid w:val="00C470D3"/>
    <w:rsid w:val="00C473FD"/>
    <w:rsid w:val="00C477F2"/>
    <w:rsid w:val="00C47909"/>
    <w:rsid w:val="00C47B4E"/>
    <w:rsid w:val="00C47B83"/>
    <w:rsid w:val="00C47CA6"/>
    <w:rsid w:val="00C5077C"/>
    <w:rsid w:val="00C5098E"/>
    <w:rsid w:val="00C514BC"/>
    <w:rsid w:val="00C51D3E"/>
    <w:rsid w:val="00C51F50"/>
    <w:rsid w:val="00C52B65"/>
    <w:rsid w:val="00C52CA6"/>
    <w:rsid w:val="00C52EB1"/>
    <w:rsid w:val="00C54CE2"/>
    <w:rsid w:val="00C54EA0"/>
    <w:rsid w:val="00C55272"/>
    <w:rsid w:val="00C554BD"/>
    <w:rsid w:val="00C562E1"/>
    <w:rsid w:val="00C56E31"/>
    <w:rsid w:val="00C5725B"/>
    <w:rsid w:val="00C573BA"/>
    <w:rsid w:val="00C577EA"/>
    <w:rsid w:val="00C57958"/>
    <w:rsid w:val="00C57A8B"/>
    <w:rsid w:val="00C57B09"/>
    <w:rsid w:val="00C602F7"/>
    <w:rsid w:val="00C60335"/>
    <w:rsid w:val="00C605C4"/>
    <w:rsid w:val="00C606AC"/>
    <w:rsid w:val="00C607D9"/>
    <w:rsid w:val="00C609FF"/>
    <w:rsid w:val="00C60A1C"/>
    <w:rsid w:val="00C6111E"/>
    <w:rsid w:val="00C6158E"/>
    <w:rsid w:val="00C61792"/>
    <w:rsid w:val="00C6194C"/>
    <w:rsid w:val="00C61EDD"/>
    <w:rsid w:val="00C6225C"/>
    <w:rsid w:val="00C63E9B"/>
    <w:rsid w:val="00C65023"/>
    <w:rsid w:val="00C65406"/>
    <w:rsid w:val="00C655FF"/>
    <w:rsid w:val="00C65BA6"/>
    <w:rsid w:val="00C65CFC"/>
    <w:rsid w:val="00C662EF"/>
    <w:rsid w:val="00C664B1"/>
    <w:rsid w:val="00C66753"/>
    <w:rsid w:val="00C66D44"/>
    <w:rsid w:val="00C673BD"/>
    <w:rsid w:val="00C679CE"/>
    <w:rsid w:val="00C67B70"/>
    <w:rsid w:val="00C67D68"/>
    <w:rsid w:val="00C67EE4"/>
    <w:rsid w:val="00C70130"/>
    <w:rsid w:val="00C70202"/>
    <w:rsid w:val="00C70986"/>
    <w:rsid w:val="00C7258B"/>
    <w:rsid w:val="00C7293E"/>
    <w:rsid w:val="00C72CA3"/>
    <w:rsid w:val="00C730B4"/>
    <w:rsid w:val="00C734D0"/>
    <w:rsid w:val="00C74449"/>
    <w:rsid w:val="00C74641"/>
    <w:rsid w:val="00C74A06"/>
    <w:rsid w:val="00C74ECF"/>
    <w:rsid w:val="00C757FD"/>
    <w:rsid w:val="00C75AC6"/>
    <w:rsid w:val="00C75AED"/>
    <w:rsid w:val="00C76A03"/>
    <w:rsid w:val="00C76ECB"/>
    <w:rsid w:val="00C77731"/>
    <w:rsid w:val="00C77FEF"/>
    <w:rsid w:val="00C800A7"/>
    <w:rsid w:val="00C8061A"/>
    <w:rsid w:val="00C80683"/>
    <w:rsid w:val="00C80A77"/>
    <w:rsid w:val="00C81824"/>
    <w:rsid w:val="00C81A5D"/>
    <w:rsid w:val="00C81E94"/>
    <w:rsid w:val="00C8215B"/>
    <w:rsid w:val="00C821A5"/>
    <w:rsid w:val="00C824BA"/>
    <w:rsid w:val="00C82771"/>
    <w:rsid w:val="00C82914"/>
    <w:rsid w:val="00C82B0B"/>
    <w:rsid w:val="00C82E5F"/>
    <w:rsid w:val="00C83180"/>
    <w:rsid w:val="00C83611"/>
    <w:rsid w:val="00C84138"/>
    <w:rsid w:val="00C84EDF"/>
    <w:rsid w:val="00C8516E"/>
    <w:rsid w:val="00C85B84"/>
    <w:rsid w:val="00C85CAD"/>
    <w:rsid w:val="00C86031"/>
    <w:rsid w:val="00C86069"/>
    <w:rsid w:val="00C861ED"/>
    <w:rsid w:val="00C86F27"/>
    <w:rsid w:val="00C87318"/>
    <w:rsid w:val="00C87480"/>
    <w:rsid w:val="00C8776C"/>
    <w:rsid w:val="00C87AF6"/>
    <w:rsid w:val="00C87CAA"/>
    <w:rsid w:val="00C91769"/>
    <w:rsid w:val="00C92271"/>
    <w:rsid w:val="00C9230C"/>
    <w:rsid w:val="00C928BE"/>
    <w:rsid w:val="00C929C8"/>
    <w:rsid w:val="00C9436B"/>
    <w:rsid w:val="00C947DC"/>
    <w:rsid w:val="00C94E00"/>
    <w:rsid w:val="00C95637"/>
    <w:rsid w:val="00C95DFF"/>
    <w:rsid w:val="00C96785"/>
    <w:rsid w:val="00C97627"/>
    <w:rsid w:val="00C97AD2"/>
    <w:rsid w:val="00C97B38"/>
    <w:rsid w:val="00C97CF9"/>
    <w:rsid w:val="00CA0A11"/>
    <w:rsid w:val="00CA0B6E"/>
    <w:rsid w:val="00CA1962"/>
    <w:rsid w:val="00CA1B2A"/>
    <w:rsid w:val="00CA2430"/>
    <w:rsid w:val="00CA309B"/>
    <w:rsid w:val="00CA3358"/>
    <w:rsid w:val="00CA37EF"/>
    <w:rsid w:val="00CA434D"/>
    <w:rsid w:val="00CA4678"/>
    <w:rsid w:val="00CA4F66"/>
    <w:rsid w:val="00CA512C"/>
    <w:rsid w:val="00CA54E1"/>
    <w:rsid w:val="00CA5DBE"/>
    <w:rsid w:val="00CA5F42"/>
    <w:rsid w:val="00CA61D2"/>
    <w:rsid w:val="00CA648A"/>
    <w:rsid w:val="00CA6D13"/>
    <w:rsid w:val="00CA6D3D"/>
    <w:rsid w:val="00CA6F62"/>
    <w:rsid w:val="00CA722D"/>
    <w:rsid w:val="00CA7674"/>
    <w:rsid w:val="00CA7ABD"/>
    <w:rsid w:val="00CA7BEA"/>
    <w:rsid w:val="00CA7EC6"/>
    <w:rsid w:val="00CB0105"/>
    <w:rsid w:val="00CB0922"/>
    <w:rsid w:val="00CB09B9"/>
    <w:rsid w:val="00CB1694"/>
    <w:rsid w:val="00CB1958"/>
    <w:rsid w:val="00CB19F3"/>
    <w:rsid w:val="00CB1DAB"/>
    <w:rsid w:val="00CB1F34"/>
    <w:rsid w:val="00CB2112"/>
    <w:rsid w:val="00CB28C5"/>
    <w:rsid w:val="00CB2F04"/>
    <w:rsid w:val="00CB3A6B"/>
    <w:rsid w:val="00CB3AD0"/>
    <w:rsid w:val="00CB3ADD"/>
    <w:rsid w:val="00CB3C42"/>
    <w:rsid w:val="00CB41E6"/>
    <w:rsid w:val="00CB439E"/>
    <w:rsid w:val="00CB5230"/>
    <w:rsid w:val="00CB55B0"/>
    <w:rsid w:val="00CB5761"/>
    <w:rsid w:val="00CB5852"/>
    <w:rsid w:val="00CB672C"/>
    <w:rsid w:val="00CB6821"/>
    <w:rsid w:val="00CB6C6F"/>
    <w:rsid w:val="00CB7010"/>
    <w:rsid w:val="00CB72A3"/>
    <w:rsid w:val="00CB7FB9"/>
    <w:rsid w:val="00CB7FC7"/>
    <w:rsid w:val="00CC009A"/>
    <w:rsid w:val="00CC01D6"/>
    <w:rsid w:val="00CC05E8"/>
    <w:rsid w:val="00CC091A"/>
    <w:rsid w:val="00CC09A7"/>
    <w:rsid w:val="00CC09B0"/>
    <w:rsid w:val="00CC0D12"/>
    <w:rsid w:val="00CC1299"/>
    <w:rsid w:val="00CC151B"/>
    <w:rsid w:val="00CC155A"/>
    <w:rsid w:val="00CC1712"/>
    <w:rsid w:val="00CC188A"/>
    <w:rsid w:val="00CC1962"/>
    <w:rsid w:val="00CC1C6D"/>
    <w:rsid w:val="00CC2462"/>
    <w:rsid w:val="00CC27FB"/>
    <w:rsid w:val="00CC36F6"/>
    <w:rsid w:val="00CC3CF3"/>
    <w:rsid w:val="00CC3FC5"/>
    <w:rsid w:val="00CC4C31"/>
    <w:rsid w:val="00CC4C7F"/>
    <w:rsid w:val="00CC5B49"/>
    <w:rsid w:val="00CC6FF1"/>
    <w:rsid w:val="00CC700A"/>
    <w:rsid w:val="00CC705D"/>
    <w:rsid w:val="00CC72B6"/>
    <w:rsid w:val="00CC74F5"/>
    <w:rsid w:val="00CC7748"/>
    <w:rsid w:val="00CC7A08"/>
    <w:rsid w:val="00CC7D91"/>
    <w:rsid w:val="00CD030A"/>
    <w:rsid w:val="00CD0471"/>
    <w:rsid w:val="00CD09C6"/>
    <w:rsid w:val="00CD0A0F"/>
    <w:rsid w:val="00CD0D78"/>
    <w:rsid w:val="00CD1DE4"/>
    <w:rsid w:val="00CD30D1"/>
    <w:rsid w:val="00CD3294"/>
    <w:rsid w:val="00CD35EF"/>
    <w:rsid w:val="00CD3C5B"/>
    <w:rsid w:val="00CD3E49"/>
    <w:rsid w:val="00CD4145"/>
    <w:rsid w:val="00CD47FB"/>
    <w:rsid w:val="00CD48E0"/>
    <w:rsid w:val="00CD5504"/>
    <w:rsid w:val="00CD572D"/>
    <w:rsid w:val="00CD577A"/>
    <w:rsid w:val="00CD5D18"/>
    <w:rsid w:val="00CD5E5A"/>
    <w:rsid w:val="00CD5E8A"/>
    <w:rsid w:val="00CD6049"/>
    <w:rsid w:val="00CD6054"/>
    <w:rsid w:val="00CD6482"/>
    <w:rsid w:val="00CD6746"/>
    <w:rsid w:val="00CD785E"/>
    <w:rsid w:val="00CE00CD"/>
    <w:rsid w:val="00CE02D1"/>
    <w:rsid w:val="00CE089D"/>
    <w:rsid w:val="00CE08D3"/>
    <w:rsid w:val="00CE0A9A"/>
    <w:rsid w:val="00CE0E22"/>
    <w:rsid w:val="00CE0FC6"/>
    <w:rsid w:val="00CE1267"/>
    <w:rsid w:val="00CE1692"/>
    <w:rsid w:val="00CE1A4A"/>
    <w:rsid w:val="00CE1B77"/>
    <w:rsid w:val="00CE1E03"/>
    <w:rsid w:val="00CE3229"/>
    <w:rsid w:val="00CE33C9"/>
    <w:rsid w:val="00CE3686"/>
    <w:rsid w:val="00CE3EFA"/>
    <w:rsid w:val="00CE4518"/>
    <w:rsid w:val="00CE4779"/>
    <w:rsid w:val="00CE514F"/>
    <w:rsid w:val="00CE59FA"/>
    <w:rsid w:val="00CE5DC8"/>
    <w:rsid w:val="00CE60E7"/>
    <w:rsid w:val="00CE6330"/>
    <w:rsid w:val="00CE64AB"/>
    <w:rsid w:val="00CE6623"/>
    <w:rsid w:val="00CE699F"/>
    <w:rsid w:val="00CE726F"/>
    <w:rsid w:val="00CE73C6"/>
    <w:rsid w:val="00CE79F9"/>
    <w:rsid w:val="00CE7F8B"/>
    <w:rsid w:val="00CF02D0"/>
    <w:rsid w:val="00CF0824"/>
    <w:rsid w:val="00CF0A8F"/>
    <w:rsid w:val="00CF15B1"/>
    <w:rsid w:val="00CF17E2"/>
    <w:rsid w:val="00CF1924"/>
    <w:rsid w:val="00CF1C15"/>
    <w:rsid w:val="00CF1C44"/>
    <w:rsid w:val="00CF21EF"/>
    <w:rsid w:val="00CF2D97"/>
    <w:rsid w:val="00CF2EC6"/>
    <w:rsid w:val="00CF327E"/>
    <w:rsid w:val="00CF3B86"/>
    <w:rsid w:val="00CF3B97"/>
    <w:rsid w:val="00CF40B1"/>
    <w:rsid w:val="00CF5358"/>
    <w:rsid w:val="00CF57F4"/>
    <w:rsid w:val="00CF5A20"/>
    <w:rsid w:val="00CF5C48"/>
    <w:rsid w:val="00CF5E94"/>
    <w:rsid w:val="00CF6498"/>
    <w:rsid w:val="00CF654D"/>
    <w:rsid w:val="00CF6F3E"/>
    <w:rsid w:val="00CF7203"/>
    <w:rsid w:val="00D0045F"/>
    <w:rsid w:val="00D0120C"/>
    <w:rsid w:val="00D01363"/>
    <w:rsid w:val="00D01473"/>
    <w:rsid w:val="00D014F5"/>
    <w:rsid w:val="00D01AC3"/>
    <w:rsid w:val="00D01B83"/>
    <w:rsid w:val="00D01B96"/>
    <w:rsid w:val="00D01BF0"/>
    <w:rsid w:val="00D0235A"/>
    <w:rsid w:val="00D025A6"/>
    <w:rsid w:val="00D02861"/>
    <w:rsid w:val="00D02B09"/>
    <w:rsid w:val="00D02C28"/>
    <w:rsid w:val="00D02F9D"/>
    <w:rsid w:val="00D03130"/>
    <w:rsid w:val="00D039FD"/>
    <w:rsid w:val="00D0412E"/>
    <w:rsid w:val="00D04E19"/>
    <w:rsid w:val="00D05571"/>
    <w:rsid w:val="00D05CC2"/>
    <w:rsid w:val="00D05DE4"/>
    <w:rsid w:val="00D0604F"/>
    <w:rsid w:val="00D062FB"/>
    <w:rsid w:val="00D06386"/>
    <w:rsid w:val="00D067BB"/>
    <w:rsid w:val="00D06852"/>
    <w:rsid w:val="00D0694A"/>
    <w:rsid w:val="00D06B5B"/>
    <w:rsid w:val="00D06C3B"/>
    <w:rsid w:val="00D06E70"/>
    <w:rsid w:val="00D06E98"/>
    <w:rsid w:val="00D07356"/>
    <w:rsid w:val="00D073FF"/>
    <w:rsid w:val="00D1002C"/>
    <w:rsid w:val="00D10A06"/>
    <w:rsid w:val="00D115E0"/>
    <w:rsid w:val="00D117E3"/>
    <w:rsid w:val="00D11D7F"/>
    <w:rsid w:val="00D11F92"/>
    <w:rsid w:val="00D121A3"/>
    <w:rsid w:val="00D1237F"/>
    <w:rsid w:val="00D12CD2"/>
    <w:rsid w:val="00D12E39"/>
    <w:rsid w:val="00D12FFA"/>
    <w:rsid w:val="00D13102"/>
    <w:rsid w:val="00D13744"/>
    <w:rsid w:val="00D141BD"/>
    <w:rsid w:val="00D14412"/>
    <w:rsid w:val="00D1496A"/>
    <w:rsid w:val="00D15529"/>
    <w:rsid w:val="00D159EA"/>
    <w:rsid w:val="00D15F52"/>
    <w:rsid w:val="00D16088"/>
    <w:rsid w:val="00D16136"/>
    <w:rsid w:val="00D162F7"/>
    <w:rsid w:val="00D16361"/>
    <w:rsid w:val="00D1713B"/>
    <w:rsid w:val="00D17540"/>
    <w:rsid w:val="00D175FD"/>
    <w:rsid w:val="00D17618"/>
    <w:rsid w:val="00D1764E"/>
    <w:rsid w:val="00D1770D"/>
    <w:rsid w:val="00D17A23"/>
    <w:rsid w:val="00D17A71"/>
    <w:rsid w:val="00D200C8"/>
    <w:rsid w:val="00D2077C"/>
    <w:rsid w:val="00D20E9D"/>
    <w:rsid w:val="00D2100B"/>
    <w:rsid w:val="00D2112B"/>
    <w:rsid w:val="00D212AF"/>
    <w:rsid w:val="00D21A76"/>
    <w:rsid w:val="00D21D42"/>
    <w:rsid w:val="00D22958"/>
    <w:rsid w:val="00D22A50"/>
    <w:rsid w:val="00D23969"/>
    <w:rsid w:val="00D23AA3"/>
    <w:rsid w:val="00D23F3D"/>
    <w:rsid w:val="00D242D9"/>
    <w:rsid w:val="00D24B65"/>
    <w:rsid w:val="00D24D7B"/>
    <w:rsid w:val="00D24DE0"/>
    <w:rsid w:val="00D252ED"/>
    <w:rsid w:val="00D25DB7"/>
    <w:rsid w:val="00D26663"/>
    <w:rsid w:val="00D27C84"/>
    <w:rsid w:val="00D27C97"/>
    <w:rsid w:val="00D27FFA"/>
    <w:rsid w:val="00D30008"/>
    <w:rsid w:val="00D30825"/>
    <w:rsid w:val="00D30A4D"/>
    <w:rsid w:val="00D30A9D"/>
    <w:rsid w:val="00D30B25"/>
    <w:rsid w:val="00D30D28"/>
    <w:rsid w:val="00D317C7"/>
    <w:rsid w:val="00D3205F"/>
    <w:rsid w:val="00D32288"/>
    <w:rsid w:val="00D3257F"/>
    <w:rsid w:val="00D3277C"/>
    <w:rsid w:val="00D328AB"/>
    <w:rsid w:val="00D32B20"/>
    <w:rsid w:val="00D32B3C"/>
    <w:rsid w:val="00D32EC2"/>
    <w:rsid w:val="00D32F0F"/>
    <w:rsid w:val="00D32F9E"/>
    <w:rsid w:val="00D33139"/>
    <w:rsid w:val="00D33821"/>
    <w:rsid w:val="00D3421F"/>
    <w:rsid w:val="00D34602"/>
    <w:rsid w:val="00D34D45"/>
    <w:rsid w:val="00D35DF7"/>
    <w:rsid w:val="00D360B4"/>
    <w:rsid w:val="00D36845"/>
    <w:rsid w:val="00D36B50"/>
    <w:rsid w:val="00D36FF1"/>
    <w:rsid w:val="00D37A8E"/>
    <w:rsid w:val="00D4001F"/>
    <w:rsid w:val="00D406EB"/>
    <w:rsid w:val="00D40737"/>
    <w:rsid w:val="00D40FAF"/>
    <w:rsid w:val="00D411CE"/>
    <w:rsid w:val="00D41485"/>
    <w:rsid w:val="00D4214F"/>
    <w:rsid w:val="00D4259E"/>
    <w:rsid w:val="00D425A9"/>
    <w:rsid w:val="00D4265A"/>
    <w:rsid w:val="00D4272C"/>
    <w:rsid w:val="00D42F28"/>
    <w:rsid w:val="00D4394A"/>
    <w:rsid w:val="00D442CE"/>
    <w:rsid w:val="00D444F2"/>
    <w:rsid w:val="00D449E4"/>
    <w:rsid w:val="00D4525A"/>
    <w:rsid w:val="00D45736"/>
    <w:rsid w:val="00D45AB1"/>
    <w:rsid w:val="00D45B28"/>
    <w:rsid w:val="00D4604C"/>
    <w:rsid w:val="00D46F55"/>
    <w:rsid w:val="00D46F86"/>
    <w:rsid w:val="00D47328"/>
    <w:rsid w:val="00D50A54"/>
    <w:rsid w:val="00D50FD2"/>
    <w:rsid w:val="00D5126C"/>
    <w:rsid w:val="00D51A6E"/>
    <w:rsid w:val="00D51E70"/>
    <w:rsid w:val="00D5340A"/>
    <w:rsid w:val="00D536DC"/>
    <w:rsid w:val="00D54833"/>
    <w:rsid w:val="00D54D08"/>
    <w:rsid w:val="00D5535C"/>
    <w:rsid w:val="00D5541B"/>
    <w:rsid w:val="00D5564A"/>
    <w:rsid w:val="00D55683"/>
    <w:rsid w:val="00D5740A"/>
    <w:rsid w:val="00D57547"/>
    <w:rsid w:val="00D5757A"/>
    <w:rsid w:val="00D57A15"/>
    <w:rsid w:val="00D60A11"/>
    <w:rsid w:val="00D60FF7"/>
    <w:rsid w:val="00D610C8"/>
    <w:rsid w:val="00D61C35"/>
    <w:rsid w:val="00D61D90"/>
    <w:rsid w:val="00D622B9"/>
    <w:rsid w:val="00D62C8E"/>
    <w:rsid w:val="00D62E97"/>
    <w:rsid w:val="00D6485A"/>
    <w:rsid w:val="00D6492E"/>
    <w:rsid w:val="00D64CEA"/>
    <w:rsid w:val="00D64DA8"/>
    <w:rsid w:val="00D66395"/>
    <w:rsid w:val="00D66CB7"/>
    <w:rsid w:val="00D6781E"/>
    <w:rsid w:val="00D67A31"/>
    <w:rsid w:val="00D702CB"/>
    <w:rsid w:val="00D7062A"/>
    <w:rsid w:val="00D71445"/>
    <w:rsid w:val="00D7152D"/>
    <w:rsid w:val="00D7181F"/>
    <w:rsid w:val="00D71AFE"/>
    <w:rsid w:val="00D71CE6"/>
    <w:rsid w:val="00D720F6"/>
    <w:rsid w:val="00D724D0"/>
    <w:rsid w:val="00D72656"/>
    <w:rsid w:val="00D726A3"/>
    <w:rsid w:val="00D728B5"/>
    <w:rsid w:val="00D72AAB"/>
    <w:rsid w:val="00D72C0D"/>
    <w:rsid w:val="00D73236"/>
    <w:rsid w:val="00D73885"/>
    <w:rsid w:val="00D73A1F"/>
    <w:rsid w:val="00D73E16"/>
    <w:rsid w:val="00D74437"/>
    <w:rsid w:val="00D7503B"/>
    <w:rsid w:val="00D7571F"/>
    <w:rsid w:val="00D75757"/>
    <w:rsid w:val="00D758DD"/>
    <w:rsid w:val="00D763C5"/>
    <w:rsid w:val="00D765C0"/>
    <w:rsid w:val="00D7678E"/>
    <w:rsid w:val="00D76975"/>
    <w:rsid w:val="00D76E65"/>
    <w:rsid w:val="00D77263"/>
    <w:rsid w:val="00D77305"/>
    <w:rsid w:val="00D77728"/>
    <w:rsid w:val="00D77C7E"/>
    <w:rsid w:val="00D801BE"/>
    <w:rsid w:val="00D8039A"/>
    <w:rsid w:val="00D8054E"/>
    <w:rsid w:val="00D8069E"/>
    <w:rsid w:val="00D80802"/>
    <w:rsid w:val="00D81022"/>
    <w:rsid w:val="00D8103A"/>
    <w:rsid w:val="00D81067"/>
    <w:rsid w:val="00D81242"/>
    <w:rsid w:val="00D81771"/>
    <w:rsid w:val="00D82589"/>
    <w:rsid w:val="00D8298A"/>
    <w:rsid w:val="00D837F3"/>
    <w:rsid w:val="00D83A6E"/>
    <w:rsid w:val="00D840FB"/>
    <w:rsid w:val="00D843F9"/>
    <w:rsid w:val="00D84979"/>
    <w:rsid w:val="00D84D15"/>
    <w:rsid w:val="00D851F4"/>
    <w:rsid w:val="00D85907"/>
    <w:rsid w:val="00D85DE0"/>
    <w:rsid w:val="00D85E62"/>
    <w:rsid w:val="00D85FA9"/>
    <w:rsid w:val="00D860FA"/>
    <w:rsid w:val="00D86455"/>
    <w:rsid w:val="00D864FE"/>
    <w:rsid w:val="00D866A4"/>
    <w:rsid w:val="00D86EE2"/>
    <w:rsid w:val="00D86F11"/>
    <w:rsid w:val="00D8705B"/>
    <w:rsid w:val="00D8734C"/>
    <w:rsid w:val="00D87615"/>
    <w:rsid w:val="00D87956"/>
    <w:rsid w:val="00D87BE7"/>
    <w:rsid w:val="00D902DC"/>
    <w:rsid w:val="00D90341"/>
    <w:rsid w:val="00D90531"/>
    <w:rsid w:val="00D90CFD"/>
    <w:rsid w:val="00D915BF"/>
    <w:rsid w:val="00D91754"/>
    <w:rsid w:val="00D91B68"/>
    <w:rsid w:val="00D91D11"/>
    <w:rsid w:val="00D91F32"/>
    <w:rsid w:val="00D923A9"/>
    <w:rsid w:val="00D92571"/>
    <w:rsid w:val="00D92954"/>
    <w:rsid w:val="00D929AB"/>
    <w:rsid w:val="00D92A8A"/>
    <w:rsid w:val="00D931FC"/>
    <w:rsid w:val="00D93F59"/>
    <w:rsid w:val="00D94062"/>
    <w:rsid w:val="00D9435D"/>
    <w:rsid w:val="00D9483C"/>
    <w:rsid w:val="00D95037"/>
    <w:rsid w:val="00D95419"/>
    <w:rsid w:val="00D954D5"/>
    <w:rsid w:val="00D957C8"/>
    <w:rsid w:val="00D95C43"/>
    <w:rsid w:val="00D960E2"/>
    <w:rsid w:val="00D963A1"/>
    <w:rsid w:val="00D96880"/>
    <w:rsid w:val="00D96A22"/>
    <w:rsid w:val="00D9728C"/>
    <w:rsid w:val="00D979FB"/>
    <w:rsid w:val="00D97A93"/>
    <w:rsid w:val="00D97A99"/>
    <w:rsid w:val="00D97C78"/>
    <w:rsid w:val="00D97DB4"/>
    <w:rsid w:val="00DA14BE"/>
    <w:rsid w:val="00DA1B9B"/>
    <w:rsid w:val="00DA1CBE"/>
    <w:rsid w:val="00DA1D7F"/>
    <w:rsid w:val="00DA1E61"/>
    <w:rsid w:val="00DA1F6F"/>
    <w:rsid w:val="00DA2010"/>
    <w:rsid w:val="00DA2A6A"/>
    <w:rsid w:val="00DA2E73"/>
    <w:rsid w:val="00DA3059"/>
    <w:rsid w:val="00DA32E5"/>
    <w:rsid w:val="00DA4032"/>
    <w:rsid w:val="00DA4453"/>
    <w:rsid w:val="00DA4699"/>
    <w:rsid w:val="00DA4B96"/>
    <w:rsid w:val="00DA4F07"/>
    <w:rsid w:val="00DA4F08"/>
    <w:rsid w:val="00DA4F59"/>
    <w:rsid w:val="00DA5036"/>
    <w:rsid w:val="00DA6168"/>
    <w:rsid w:val="00DA6E80"/>
    <w:rsid w:val="00DA6F89"/>
    <w:rsid w:val="00DA7719"/>
    <w:rsid w:val="00DA7995"/>
    <w:rsid w:val="00DA7BFD"/>
    <w:rsid w:val="00DB0167"/>
    <w:rsid w:val="00DB017A"/>
    <w:rsid w:val="00DB01E5"/>
    <w:rsid w:val="00DB0962"/>
    <w:rsid w:val="00DB110D"/>
    <w:rsid w:val="00DB1188"/>
    <w:rsid w:val="00DB16A4"/>
    <w:rsid w:val="00DB173A"/>
    <w:rsid w:val="00DB1C66"/>
    <w:rsid w:val="00DB1FED"/>
    <w:rsid w:val="00DB3275"/>
    <w:rsid w:val="00DB3D2C"/>
    <w:rsid w:val="00DB3D9D"/>
    <w:rsid w:val="00DB3E04"/>
    <w:rsid w:val="00DB3E29"/>
    <w:rsid w:val="00DB3FE4"/>
    <w:rsid w:val="00DB44B4"/>
    <w:rsid w:val="00DB4743"/>
    <w:rsid w:val="00DB4872"/>
    <w:rsid w:val="00DB4928"/>
    <w:rsid w:val="00DB4A67"/>
    <w:rsid w:val="00DB55AC"/>
    <w:rsid w:val="00DB57E1"/>
    <w:rsid w:val="00DB57EB"/>
    <w:rsid w:val="00DB59E7"/>
    <w:rsid w:val="00DB5D39"/>
    <w:rsid w:val="00DB68A2"/>
    <w:rsid w:val="00DB6989"/>
    <w:rsid w:val="00DB6D81"/>
    <w:rsid w:val="00DB6E5F"/>
    <w:rsid w:val="00DB6FBD"/>
    <w:rsid w:val="00DB722E"/>
    <w:rsid w:val="00DB79AA"/>
    <w:rsid w:val="00DC03E8"/>
    <w:rsid w:val="00DC074A"/>
    <w:rsid w:val="00DC0837"/>
    <w:rsid w:val="00DC110A"/>
    <w:rsid w:val="00DC233A"/>
    <w:rsid w:val="00DC296D"/>
    <w:rsid w:val="00DC2A0B"/>
    <w:rsid w:val="00DC4594"/>
    <w:rsid w:val="00DC592B"/>
    <w:rsid w:val="00DC62C4"/>
    <w:rsid w:val="00DC686E"/>
    <w:rsid w:val="00DC6C98"/>
    <w:rsid w:val="00DC6D86"/>
    <w:rsid w:val="00DC7493"/>
    <w:rsid w:val="00DC77E2"/>
    <w:rsid w:val="00DC7F11"/>
    <w:rsid w:val="00DD00F5"/>
    <w:rsid w:val="00DD0442"/>
    <w:rsid w:val="00DD1008"/>
    <w:rsid w:val="00DD14C6"/>
    <w:rsid w:val="00DD14D2"/>
    <w:rsid w:val="00DD16BF"/>
    <w:rsid w:val="00DD258D"/>
    <w:rsid w:val="00DD263D"/>
    <w:rsid w:val="00DD3411"/>
    <w:rsid w:val="00DD3696"/>
    <w:rsid w:val="00DD372E"/>
    <w:rsid w:val="00DD3927"/>
    <w:rsid w:val="00DD3B08"/>
    <w:rsid w:val="00DD3F7E"/>
    <w:rsid w:val="00DD408F"/>
    <w:rsid w:val="00DD4711"/>
    <w:rsid w:val="00DD580F"/>
    <w:rsid w:val="00DD605E"/>
    <w:rsid w:val="00DD6F9E"/>
    <w:rsid w:val="00DD77D6"/>
    <w:rsid w:val="00DD7818"/>
    <w:rsid w:val="00DD79E8"/>
    <w:rsid w:val="00DD7E26"/>
    <w:rsid w:val="00DE0127"/>
    <w:rsid w:val="00DE04AA"/>
    <w:rsid w:val="00DE0B62"/>
    <w:rsid w:val="00DE1311"/>
    <w:rsid w:val="00DE1384"/>
    <w:rsid w:val="00DE1624"/>
    <w:rsid w:val="00DE19DC"/>
    <w:rsid w:val="00DE1F9A"/>
    <w:rsid w:val="00DE2373"/>
    <w:rsid w:val="00DE26A2"/>
    <w:rsid w:val="00DE2A67"/>
    <w:rsid w:val="00DE2AA6"/>
    <w:rsid w:val="00DE2E6E"/>
    <w:rsid w:val="00DE3599"/>
    <w:rsid w:val="00DE3A26"/>
    <w:rsid w:val="00DE3C0C"/>
    <w:rsid w:val="00DE40D7"/>
    <w:rsid w:val="00DE4390"/>
    <w:rsid w:val="00DE491A"/>
    <w:rsid w:val="00DE54C6"/>
    <w:rsid w:val="00DE5603"/>
    <w:rsid w:val="00DE57EB"/>
    <w:rsid w:val="00DE58F9"/>
    <w:rsid w:val="00DE5EA7"/>
    <w:rsid w:val="00DE6AF2"/>
    <w:rsid w:val="00DE6C08"/>
    <w:rsid w:val="00DE6EF8"/>
    <w:rsid w:val="00DE7103"/>
    <w:rsid w:val="00DF06E6"/>
    <w:rsid w:val="00DF0F37"/>
    <w:rsid w:val="00DF1866"/>
    <w:rsid w:val="00DF205F"/>
    <w:rsid w:val="00DF2412"/>
    <w:rsid w:val="00DF2432"/>
    <w:rsid w:val="00DF2999"/>
    <w:rsid w:val="00DF2F86"/>
    <w:rsid w:val="00DF33E0"/>
    <w:rsid w:val="00DF3E4F"/>
    <w:rsid w:val="00DF407A"/>
    <w:rsid w:val="00DF4457"/>
    <w:rsid w:val="00DF48C1"/>
    <w:rsid w:val="00DF51B3"/>
    <w:rsid w:val="00DF531E"/>
    <w:rsid w:val="00DF56F4"/>
    <w:rsid w:val="00DF5972"/>
    <w:rsid w:val="00DF6214"/>
    <w:rsid w:val="00DF62C1"/>
    <w:rsid w:val="00DF6B1F"/>
    <w:rsid w:val="00DF76C1"/>
    <w:rsid w:val="00DF7713"/>
    <w:rsid w:val="00DF7955"/>
    <w:rsid w:val="00DF7BA0"/>
    <w:rsid w:val="00E00380"/>
    <w:rsid w:val="00E0089E"/>
    <w:rsid w:val="00E00D63"/>
    <w:rsid w:val="00E00E3F"/>
    <w:rsid w:val="00E00EB6"/>
    <w:rsid w:val="00E01D02"/>
    <w:rsid w:val="00E02071"/>
    <w:rsid w:val="00E021AB"/>
    <w:rsid w:val="00E02773"/>
    <w:rsid w:val="00E030AF"/>
    <w:rsid w:val="00E0370C"/>
    <w:rsid w:val="00E0392B"/>
    <w:rsid w:val="00E0406D"/>
    <w:rsid w:val="00E0431F"/>
    <w:rsid w:val="00E045F7"/>
    <w:rsid w:val="00E051FA"/>
    <w:rsid w:val="00E057AA"/>
    <w:rsid w:val="00E05B6E"/>
    <w:rsid w:val="00E05DCF"/>
    <w:rsid w:val="00E05EDF"/>
    <w:rsid w:val="00E05F8E"/>
    <w:rsid w:val="00E067C1"/>
    <w:rsid w:val="00E069E0"/>
    <w:rsid w:val="00E071AA"/>
    <w:rsid w:val="00E074F2"/>
    <w:rsid w:val="00E07769"/>
    <w:rsid w:val="00E07CBC"/>
    <w:rsid w:val="00E07EA6"/>
    <w:rsid w:val="00E1010A"/>
    <w:rsid w:val="00E10285"/>
    <w:rsid w:val="00E10863"/>
    <w:rsid w:val="00E11045"/>
    <w:rsid w:val="00E1109E"/>
    <w:rsid w:val="00E111F3"/>
    <w:rsid w:val="00E11229"/>
    <w:rsid w:val="00E1125C"/>
    <w:rsid w:val="00E11357"/>
    <w:rsid w:val="00E1140E"/>
    <w:rsid w:val="00E1191E"/>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9FF"/>
    <w:rsid w:val="00E14AC2"/>
    <w:rsid w:val="00E15043"/>
    <w:rsid w:val="00E15091"/>
    <w:rsid w:val="00E15622"/>
    <w:rsid w:val="00E16166"/>
    <w:rsid w:val="00E166C0"/>
    <w:rsid w:val="00E1696F"/>
    <w:rsid w:val="00E17267"/>
    <w:rsid w:val="00E20C83"/>
    <w:rsid w:val="00E20F95"/>
    <w:rsid w:val="00E2165B"/>
    <w:rsid w:val="00E2174F"/>
    <w:rsid w:val="00E218C0"/>
    <w:rsid w:val="00E21911"/>
    <w:rsid w:val="00E21F8D"/>
    <w:rsid w:val="00E221FC"/>
    <w:rsid w:val="00E22725"/>
    <w:rsid w:val="00E22836"/>
    <w:rsid w:val="00E229A0"/>
    <w:rsid w:val="00E229B2"/>
    <w:rsid w:val="00E22ADC"/>
    <w:rsid w:val="00E22B29"/>
    <w:rsid w:val="00E22C42"/>
    <w:rsid w:val="00E22D45"/>
    <w:rsid w:val="00E232D1"/>
    <w:rsid w:val="00E2399D"/>
    <w:rsid w:val="00E23B89"/>
    <w:rsid w:val="00E23C15"/>
    <w:rsid w:val="00E2425A"/>
    <w:rsid w:val="00E245E0"/>
    <w:rsid w:val="00E24812"/>
    <w:rsid w:val="00E248C5"/>
    <w:rsid w:val="00E24A07"/>
    <w:rsid w:val="00E257DA"/>
    <w:rsid w:val="00E261E7"/>
    <w:rsid w:val="00E26CF2"/>
    <w:rsid w:val="00E271FF"/>
    <w:rsid w:val="00E2766E"/>
    <w:rsid w:val="00E277A5"/>
    <w:rsid w:val="00E300F2"/>
    <w:rsid w:val="00E30F98"/>
    <w:rsid w:val="00E30FF3"/>
    <w:rsid w:val="00E310DD"/>
    <w:rsid w:val="00E315EA"/>
    <w:rsid w:val="00E316B8"/>
    <w:rsid w:val="00E31A02"/>
    <w:rsid w:val="00E31DDE"/>
    <w:rsid w:val="00E326F4"/>
    <w:rsid w:val="00E32F9C"/>
    <w:rsid w:val="00E33178"/>
    <w:rsid w:val="00E3320D"/>
    <w:rsid w:val="00E332FF"/>
    <w:rsid w:val="00E3364F"/>
    <w:rsid w:val="00E33AFF"/>
    <w:rsid w:val="00E3437F"/>
    <w:rsid w:val="00E34522"/>
    <w:rsid w:val="00E3490C"/>
    <w:rsid w:val="00E34A04"/>
    <w:rsid w:val="00E34D0D"/>
    <w:rsid w:val="00E34E68"/>
    <w:rsid w:val="00E3505A"/>
    <w:rsid w:val="00E352FB"/>
    <w:rsid w:val="00E35E63"/>
    <w:rsid w:val="00E35EBF"/>
    <w:rsid w:val="00E361BE"/>
    <w:rsid w:val="00E3666E"/>
    <w:rsid w:val="00E36E6C"/>
    <w:rsid w:val="00E370BC"/>
    <w:rsid w:val="00E371C3"/>
    <w:rsid w:val="00E37956"/>
    <w:rsid w:val="00E40089"/>
    <w:rsid w:val="00E401F7"/>
    <w:rsid w:val="00E40AF6"/>
    <w:rsid w:val="00E40E63"/>
    <w:rsid w:val="00E411ED"/>
    <w:rsid w:val="00E4133D"/>
    <w:rsid w:val="00E41521"/>
    <w:rsid w:val="00E41ADF"/>
    <w:rsid w:val="00E41FA7"/>
    <w:rsid w:val="00E4308F"/>
    <w:rsid w:val="00E433A4"/>
    <w:rsid w:val="00E43A7D"/>
    <w:rsid w:val="00E443C3"/>
    <w:rsid w:val="00E443E0"/>
    <w:rsid w:val="00E4448C"/>
    <w:rsid w:val="00E445EA"/>
    <w:rsid w:val="00E44902"/>
    <w:rsid w:val="00E44D6D"/>
    <w:rsid w:val="00E44EFE"/>
    <w:rsid w:val="00E45141"/>
    <w:rsid w:val="00E45866"/>
    <w:rsid w:val="00E46074"/>
    <w:rsid w:val="00E461CC"/>
    <w:rsid w:val="00E4654D"/>
    <w:rsid w:val="00E470EB"/>
    <w:rsid w:val="00E472C5"/>
    <w:rsid w:val="00E47456"/>
    <w:rsid w:val="00E4761D"/>
    <w:rsid w:val="00E47BA5"/>
    <w:rsid w:val="00E47F30"/>
    <w:rsid w:val="00E47F34"/>
    <w:rsid w:val="00E50706"/>
    <w:rsid w:val="00E5148F"/>
    <w:rsid w:val="00E51867"/>
    <w:rsid w:val="00E526E5"/>
    <w:rsid w:val="00E53878"/>
    <w:rsid w:val="00E53F04"/>
    <w:rsid w:val="00E5420C"/>
    <w:rsid w:val="00E5454F"/>
    <w:rsid w:val="00E54E54"/>
    <w:rsid w:val="00E55148"/>
    <w:rsid w:val="00E55541"/>
    <w:rsid w:val="00E55BCA"/>
    <w:rsid w:val="00E55F73"/>
    <w:rsid w:val="00E560B5"/>
    <w:rsid w:val="00E56EE8"/>
    <w:rsid w:val="00E579B2"/>
    <w:rsid w:val="00E60264"/>
    <w:rsid w:val="00E607CF"/>
    <w:rsid w:val="00E60A9C"/>
    <w:rsid w:val="00E60B1A"/>
    <w:rsid w:val="00E60D46"/>
    <w:rsid w:val="00E60DAC"/>
    <w:rsid w:val="00E60EFA"/>
    <w:rsid w:val="00E61097"/>
    <w:rsid w:val="00E61291"/>
    <w:rsid w:val="00E620ED"/>
    <w:rsid w:val="00E62684"/>
    <w:rsid w:val="00E62983"/>
    <w:rsid w:val="00E62FC8"/>
    <w:rsid w:val="00E63385"/>
    <w:rsid w:val="00E633B6"/>
    <w:rsid w:val="00E6355F"/>
    <w:rsid w:val="00E636BC"/>
    <w:rsid w:val="00E64202"/>
    <w:rsid w:val="00E645C5"/>
    <w:rsid w:val="00E64768"/>
    <w:rsid w:val="00E64930"/>
    <w:rsid w:val="00E64DAF"/>
    <w:rsid w:val="00E653C1"/>
    <w:rsid w:val="00E66180"/>
    <w:rsid w:val="00E664A1"/>
    <w:rsid w:val="00E66946"/>
    <w:rsid w:val="00E66F65"/>
    <w:rsid w:val="00E675CB"/>
    <w:rsid w:val="00E677B5"/>
    <w:rsid w:val="00E7005A"/>
    <w:rsid w:val="00E702A9"/>
    <w:rsid w:val="00E702D1"/>
    <w:rsid w:val="00E71CC6"/>
    <w:rsid w:val="00E721BB"/>
    <w:rsid w:val="00E72965"/>
    <w:rsid w:val="00E72E24"/>
    <w:rsid w:val="00E72FF1"/>
    <w:rsid w:val="00E73483"/>
    <w:rsid w:val="00E73BB1"/>
    <w:rsid w:val="00E73D50"/>
    <w:rsid w:val="00E7432C"/>
    <w:rsid w:val="00E74588"/>
    <w:rsid w:val="00E746AA"/>
    <w:rsid w:val="00E74736"/>
    <w:rsid w:val="00E74A72"/>
    <w:rsid w:val="00E756BB"/>
    <w:rsid w:val="00E75855"/>
    <w:rsid w:val="00E75DCE"/>
    <w:rsid w:val="00E75FCD"/>
    <w:rsid w:val="00E761D8"/>
    <w:rsid w:val="00E76856"/>
    <w:rsid w:val="00E76AC8"/>
    <w:rsid w:val="00E76B31"/>
    <w:rsid w:val="00E76F6B"/>
    <w:rsid w:val="00E80172"/>
    <w:rsid w:val="00E803B7"/>
    <w:rsid w:val="00E80BF6"/>
    <w:rsid w:val="00E80C0B"/>
    <w:rsid w:val="00E80C88"/>
    <w:rsid w:val="00E80DA9"/>
    <w:rsid w:val="00E80F13"/>
    <w:rsid w:val="00E81387"/>
    <w:rsid w:val="00E813AD"/>
    <w:rsid w:val="00E820F8"/>
    <w:rsid w:val="00E82F23"/>
    <w:rsid w:val="00E82FE3"/>
    <w:rsid w:val="00E83140"/>
    <w:rsid w:val="00E837DA"/>
    <w:rsid w:val="00E83AC7"/>
    <w:rsid w:val="00E842CC"/>
    <w:rsid w:val="00E847A0"/>
    <w:rsid w:val="00E84A73"/>
    <w:rsid w:val="00E8512F"/>
    <w:rsid w:val="00E853AA"/>
    <w:rsid w:val="00E85ADE"/>
    <w:rsid w:val="00E86350"/>
    <w:rsid w:val="00E866AB"/>
    <w:rsid w:val="00E86752"/>
    <w:rsid w:val="00E86959"/>
    <w:rsid w:val="00E87577"/>
    <w:rsid w:val="00E87891"/>
    <w:rsid w:val="00E87EEF"/>
    <w:rsid w:val="00E9176F"/>
    <w:rsid w:val="00E91D67"/>
    <w:rsid w:val="00E922D8"/>
    <w:rsid w:val="00E92603"/>
    <w:rsid w:val="00E927DD"/>
    <w:rsid w:val="00E928A3"/>
    <w:rsid w:val="00E92AE4"/>
    <w:rsid w:val="00E92BFE"/>
    <w:rsid w:val="00E932AF"/>
    <w:rsid w:val="00E936B1"/>
    <w:rsid w:val="00E93FD2"/>
    <w:rsid w:val="00E94099"/>
    <w:rsid w:val="00E94208"/>
    <w:rsid w:val="00E94A79"/>
    <w:rsid w:val="00E94F9D"/>
    <w:rsid w:val="00E958DB"/>
    <w:rsid w:val="00E95DA6"/>
    <w:rsid w:val="00E95EB4"/>
    <w:rsid w:val="00E95EF9"/>
    <w:rsid w:val="00E960E6"/>
    <w:rsid w:val="00E9616D"/>
    <w:rsid w:val="00E96518"/>
    <w:rsid w:val="00E96809"/>
    <w:rsid w:val="00E9681F"/>
    <w:rsid w:val="00E968F7"/>
    <w:rsid w:val="00EA043F"/>
    <w:rsid w:val="00EA07A4"/>
    <w:rsid w:val="00EA099F"/>
    <w:rsid w:val="00EA0C59"/>
    <w:rsid w:val="00EA0D49"/>
    <w:rsid w:val="00EA0F3D"/>
    <w:rsid w:val="00EA13EF"/>
    <w:rsid w:val="00EA1961"/>
    <w:rsid w:val="00EA1C27"/>
    <w:rsid w:val="00EA2086"/>
    <w:rsid w:val="00EA2ABA"/>
    <w:rsid w:val="00EA309B"/>
    <w:rsid w:val="00EA3266"/>
    <w:rsid w:val="00EA359E"/>
    <w:rsid w:val="00EA38CB"/>
    <w:rsid w:val="00EA3AEF"/>
    <w:rsid w:val="00EA3E56"/>
    <w:rsid w:val="00EA412A"/>
    <w:rsid w:val="00EA4178"/>
    <w:rsid w:val="00EA4EE2"/>
    <w:rsid w:val="00EA512E"/>
    <w:rsid w:val="00EA5919"/>
    <w:rsid w:val="00EA5D61"/>
    <w:rsid w:val="00EA60D6"/>
    <w:rsid w:val="00EA61D3"/>
    <w:rsid w:val="00EA67CE"/>
    <w:rsid w:val="00EB012B"/>
    <w:rsid w:val="00EB082D"/>
    <w:rsid w:val="00EB147A"/>
    <w:rsid w:val="00EB297B"/>
    <w:rsid w:val="00EB311E"/>
    <w:rsid w:val="00EB32E0"/>
    <w:rsid w:val="00EB349C"/>
    <w:rsid w:val="00EB47CD"/>
    <w:rsid w:val="00EB4803"/>
    <w:rsid w:val="00EB4ED7"/>
    <w:rsid w:val="00EB53BB"/>
    <w:rsid w:val="00EB5660"/>
    <w:rsid w:val="00EB5739"/>
    <w:rsid w:val="00EB5C69"/>
    <w:rsid w:val="00EB6253"/>
    <w:rsid w:val="00EB657B"/>
    <w:rsid w:val="00EB6935"/>
    <w:rsid w:val="00EB69C9"/>
    <w:rsid w:val="00EB69CB"/>
    <w:rsid w:val="00EB774E"/>
    <w:rsid w:val="00EB7E6E"/>
    <w:rsid w:val="00EC019C"/>
    <w:rsid w:val="00EC01F2"/>
    <w:rsid w:val="00EC0955"/>
    <w:rsid w:val="00EC09F6"/>
    <w:rsid w:val="00EC100C"/>
    <w:rsid w:val="00EC1216"/>
    <w:rsid w:val="00EC1678"/>
    <w:rsid w:val="00EC1B22"/>
    <w:rsid w:val="00EC2555"/>
    <w:rsid w:val="00EC2CF8"/>
    <w:rsid w:val="00EC2D1B"/>
    <w:rsid w:val="00EC2E4F"/>
    <w:rsid w:val="00EC34D6"/>
    <w:rsid w:val="00EC3AFE"/>
    <w:rsid w:val="00EC404E"/>
    <w:rsid w:val="00EC51B5"/>
    <w:rsid w:val="00EC51FD"/>
    <w:rsid w:val="00EC546B"/>
    <w:rsid w:val="00EC6055"/>
    <w:rsid w:val="00EC65EB"/>
    <w:rsid w:val="00EC6E2F"/>
    <w:rsid w:val="00EC6E77"/>
    <w:rsid w:val="00EC6E9E"/>
    <w:rsid w:val="00EC6EB4"/>
    <w:rsid w:val="00EC70DE"/>
    <w:rsid w:val="00ED022E"/>
    <w:rsid w:val="00ED0773"/>
    <w:rsid w:val="00ED07BE"/>
    <w:rsid w:val="00ED141D"/>
    <w:rsid w:val="00ED1557"/>
    <w:rsid w:val="00ED17D0"/>
    <w:rsid w:val="00ED19FE"/>
    <w:rsid w:val="00ED1D66"/>
    <w:rsid w:val="00ED20A4"/>
    <w:rsid w:val="00ED2156"/>
    <w:rsid w:val="00ED21C9"/>
    <w:rsid w:val="00ED2564"/>
    <w:rsid w:val="00ED302C"/>
    <w:rsid w:val="00ED348C"/>
    <w:rsid w:val="00ED3711"/>
    <w:rsid w:val="00ED3952"/>
    <w:rsid w:val="00ED401D"/>
    <w:rsid w:val="00ED4121"/>
    <w:rsid w:val="00ED4811"/>
    <w:rsid w:val="00ED49D6"/>
    <w:rsid w:val="00ED4BFA"/>
    <w:rsid w:val="00ED4F42"/>
    <w:rsid w:val="00ED5268"/>
    <w:rsid w:val="00ED5D18"/>
    <w:rsid w:val="00ED5DBB"/>
    <w:rsid w:val="00ED6537"/>
    <w:rsid w:val="00ED6872"/>
    <w:rsid w:val="00ED6D22"/>
    <w:rsid w:val="00ED6E50"/>
    <w:rsid w:val="00ED78E0"/>
    <w:rsid w:val="00ED7CCB"/>
    <w:rsid w:val="00EE0226"/>
    <w:rsid w:val="00EE0A4F"/>
    <w:rsid w:val="00EE0D7B"/>
    <w:rsid w:val="00EE0F04"/>
    <w:rsid w:val="00EE12CF"/>
    <w:rsid w:val="00EE151A"/>
    <w:rsid w:val="00EE15BE"/>
    <w:rsid w:val="00EE187A"/>
    <w:rsid w:val="00EE1E2A"/>
    <w:rsid w:val="00EE3711"/>
    <w:rsid w:val="00EE380B"/>
    <w:rsid w:val="00EE3BC2"/>
    <w:rsid w:val="00EE44F8"/>
    <w:rsid w:val="00EE4D6E"/>
    <w:rsid w:val="00EE4F18"/>
    <w:rsid w:val="00EE5C6A"/>
    <w:rsid w:val="00EE5C91"/>
    <w:rsid w:val="00EE6047"/>
    <w:rsid w:val="00EE6159"/>
    <w:rsid w:val="00EE6C01"/>
    <w:rsid w:val="00EE7A57"/>
    <w:rsid w:val="00EF026B"/>
    <w:rsid w:val="00EF0400"/>
    <w:rsid w:val="00EF0968"/>
    <w:rsid w:val="00EF0F3E"/>
    <w:rsid w:val="00EF11EE"/>
    <w:rsid w:val="00EF14F8"/>
    <w:rsid w:val="00EF1EF8"/>
    <w:rsid w:val="00EF25A1"/>
    <w:rsid w:val="00EF26D4"/>
    <w:rsid w:val="00EF2CF9"/>
    <w:rsid w:val="00EF3545"/>
    <w:rsid w:val="00EF3F6C"/>
    <w:rsid w:val="00EF442B"/>
    <w:rsid w:val="00EF4775"/>
    <w:rsid w:val="00EF4837"/>
    <w:rsid w:val="00EF54E7"/>
    <w:rsid w:val="00EF5AB8"/>
    <w:rsid w:val="00EF5D7F"/>
    <w:rsid w:val="00EF6090"/>
    <w:rsid w:val="00EF6315"/>
    <w:rsid w:val="00EF66D0"/>
    <w:rsid w:val="00EF70C1"/>
    <w:rsid w:val="00EF7956"/>
    <w:rsid w:val="00F0034A"/>
    <w:rsid w:val="00F00669"/>
    <w:rsid w:val="00F00670"/>
    <w:rsid w:val="00F00A3A"/>
    <w:rsid w:val="00F00C08"/>
    <w:rsid w:val="00F0111D"/>
    <w:rsid w:val="00F023E4"/>
    <w:rsid w:val="00F02949"/>
    <w:rsid w:val="00F02A5D"/>
    <w:rsid w:val="00F03472"/>
    <w:rsid w:val="00F038D8"/>
    <w:rsid w:val="00F03DC7"/>
    <w:rsid w:val="00F03F48"/>
    <w:rsid w:val="00F040E9"/>
    <w:rsid w:val="00F04CC6"/>
    <w:rsid w:val="00F05167"/>
    <w:rsid w:val="00F05808"/>
    <w:rsid w:val="00F05B06"/>
    <w:rsid w:val="00F0633A"/>
    <w:rsid w:val="00F066EB"/>
    <w:rsid w:val="00F06A6F"/>
    <w:rsid w:val="00F06DB1"/>
    <w:rsid w:val="00F07689"/>
    <w:rsid w:val="00F07ADA"/>
    <w:rsid w:val="00F07C3C"/>
    <w:rsid w:val="00F07F5F"/>
    <w:rsid w:val="00F10313"/>
    <w:rsid w:val="00F107CF"/>
    <w:rsid w:val="00F1098E"/>
    <w:rsid w:val="00F10B46"/>
    <w:rsid w:val="00F10C31"/>
    <w:rsid w:val="00F11344"/>
    <w:rsid w:val="00F1145F"/>
    <w:rsid w:val="00F11560"/>
    <w:rsid w:val="00F116EF"/>
    <w:rsid w:val="00F11D56"/>
    <w:rsid w:val="00F123EC"/>
    <w:rsid w:val="00F12B7C"/>
    <w:rsid w:val="00F1318F"/>
    <w:rsid w:val="00F13842"/>
    <w:rsid w:val="00F13C48"/>
    <w:rsid w:val="00F142A4"/>
    <w:rsid w:val="00F1486E"/>
    <w:rsid w:val="00F14FB1"/>
    <w:rsid w:val="00F14FF3"/>
    <w:rsid w:val="00F15DD8"/>
    <w:rsid w:val="00F1607B"/>
    <w:rsid w:val="00F1668F"/>
    <w:rsid w:val="00F16AEB"/>
    <w:rsid w:val="00F16CFA"/>
    <w:rsid w:val="00F17E0B"/>
    <w:rsid w:val="00F2051D"/>
    <w:rsid w:val="00F20AF4"/>
    <w:rsid w:val="00F20F70"/>
    <w:rsid w:val="00F2129D"/>
    <w:rsid w:val="00F212F5"/>
    <w:rsid w:val="00F21375"/>
    <w:rsid w:val="00F21470"/>
    <w:rsid w:val="00F216FD"/>
    <w:rsid w:val="00F219C7"/>
    <w:rsid w:val="00F21B85"/>
    <w:rsid w:val="00F21CAA"/>
    <w:rsid w:val="00F22C95"/>
    <w:rsid w:val="00F23042"/>
    <w:rsid w:val="00F23095"/>
    <w:rsid w:val="00F23150"/>
    <w:rsid w:val="00F2343B"/>
    <w:rsid w:val="00F238C4"/>
    <w:rsid w:val="00F23AC0"/>
    <w:rsid w:val="00F23B56"/>
    <w:rsid w:val="00F23C24"/>
    <w:rsid w:val="00F23D28"/>
    <w:rsid w:val="00F23DAD"/>
    <w:rsid w:val="00F24E46"/>
    <w:rsid w:val="00F25093"/>
    <w:rsid w:val="00F250C3"/>
    <w:rsid w:val="00F25257"/>
    <w:rsid w:val="00F2546E"/>
    <w:rsid w:val="00F261C3"/>
    <w:rsid w:val="00F26431"/>
    <w:rsid w:val="00F26A4B"/>
    <w:rsid w:val="00F26BD2"/>
    <w:rsid w:val="00F26E53"/>
    <w:rsid w:val="00F2758A"/>
    <w:rsid w:val="00F27674"/>
    <w:rsid w:val="00F27701"/>
    <w:rsid w:val="00F27C1E"/>
    <w:rsid w:val="00F303E8"/>
    <w:rsid w:val="00F30434"/>
    <w:rsid w:val="00F30BC4"/>
    <w:rsid w:val="00F31256"/>
    <w:rsid w:val="00F31913"/>
    <w:rsid w:val="00F32CB3"/>
    <w:rsid w:val="00F32E03"/>
    <w:rsid w:val="00F331DD"/>
    <w:rsid w:val="00F34054"/>
    <w:rsid w:val="00F34635"/>
    <w:rsid w:val="00F34A54"/>
    <w:rsid w:val="00F34EA0"/>
    <w:rsid w:val="00F34F85"/>
    <w:rsid w:val="00F35669"/>
    <w:rsid w:val="00F36499"/>
    <w:rsid w:val="00F3731F"/>
    <w:rsid w:val="00F374D0"/>
    <w:rsid w:val="00F403A3"/>
    <w:rsid w:val="00F404DE"/>
    <w:rsid w:val="00F40A99"/>
    <w:rsid w:val="00F40AB2"/>
    <w:rsid w:val="00F40AF9"/>
    <w:rsid w:val="00F40CEB"/>
    <w:rsid w:val="00F40F30"/>
    <w:rsid w:val="00F4102E"/>
    <w:rsid w:val="00F411B2"/>
    <w:rsid w:val="00F414AE"/>
    <w:rsid w:val="00F4172D"/>
    <w:rsid w:val="00F418D9"/>
    <w:rsid w:val="00F4200F"/>
    <w:rsid w:val="00F42064"/>
    <w:rsid w:val="00F42707"/>
    <w:rsid w:val="00F42B4E"/>
    <w:rsid w:val="00F4379E"/>
    <w:rsid w:val="00F4479D"/>
    <w:rsid w:val="00F44F40"/>
    <w:rsid w:val="00F454F1"/>
    <w:rsid w:val="00F45DB4"/>
    <w:rsid w:val="00F460FD"/>
    <w:rsid w:val="00F461C9"/>
    <w:rsid w:val="00F46A1E"/>
    <w:rsid w:val="00F4707B"/>
    <w:rsid w:val="00F471C7"/>
    <w:rsid w:val="00F47897"/>
    <w:rsid w:val="00F503B9"/>
    <w:rsid w:val="00F50B27"/>
    <w:rsid w:val="00F5158F"/>
    <w:rsid w:val="00F51BF4"/>
    <w:rsid w:val="00F51DAE"/>
    <w:rsid w:val="00F52BED"/>
    <w:rsid w:val="00F52F8B"/>
    <w:rsid w:val="00F53C50"/>
    <w:rsid w:val="00F541E4"/>
    <w:rsid w:val="00F54675"/>
    <w:rsid w:val="00F54810"/>
    <w:rsid w:val="00F54C34"/>
    <w:rsid w:val="00F54CEB"/>
    <w:rsid w:val="00F551D4"/>
    <w:rsid w:val="00F551DC"/>
    <w:rsid w:val="00F55570"/>
    <w:rsid w:val="00F55CB2"/>
    <w:rsid w:val="00F55FC3"/>
    <w:rsid w:val="00F56149"/>
    <w:rsid w:val="00F566CB"/>
    <w:rsid w:val="00F56731"/>
    <w:rsid w:val="00F5727D"/>
    <w:rsid w:val="00F57572"/>
    <w:rsid w:val="00F5797A"/>
    <w:rsid w:val="00F600C3"/>
    <w:rsid w:val="00F60283"/>
    <w:rsid w:val="00F606C5"/>
    <w:rsid w:val="00F60A83"/>
    <w:rsid w:val="00F60B66"/>
    <w:rsid w:val="00F60BF5"/>
    <w:rsid w:val="00F616FE"/>
    <w:rsid w:val="00F62B05"/>
    <w:rsid w:val="00F62BB6"/>
    <w:rsid w:val="00F63205"/>
    <w:rsid w:val="00F640F5"/>
    <w:rsid w:val="00F65EDB"/>
    <w:rsid w:val="00F660F0"/>
    <w:rsid w:val="00F66656"/>
    <w:rsid w:val="00F66AAE"/>
    <w:rsid w:val="00F671B6"/>
    <w:rsid w:val="00F671F9"/>
    <w:rsid w:val="00F70618"/>
    <w:rsid w:val="00F70774"/>
    <w:rsid w:val="00F70BEC"/>
    <w:rsid w:val="00F7143B"/>
    <w:rsid w:val="00F7147B"/>
    <w:rsid w:val="00F715A5"/>
    <w:rsid w:val="00F715F0"/>
    <w:rsid w:val="00F71708"/>
    <w:rsid w:val="00F71934"/>
    <w:rsid w:val="00F71A52"/>
    <w:rsid w:val="00F71BF2"/>
    <w:rsid w:val="00F71CD3"/>
    <w:rsid w:val="00F71D18"/>
    <w:rsid w:val="00F72014"/>
    <w:rsid w:val="00F72697"/>
    <w:rsid w:val="00F727EB"/>
    <w:rsid w:val="00F729D3"/>
    <w:rsid w:val="00F72B7A"/>
    <w:rsid w:val="00F72EC4"/>
    <w:rsid w:val="00F73168"/>
    <w:rsid w:val="00F7319D"/>
    <w:rsid w:val="00F73225"/>
    <w:rsid w:val="00F735B0"/>
    <w:rsid w:val="00F73E76"/>
    <w:rsid w:val="00F73FEF"/>
    <w:rsid w:val="00F74753"/>
    <w:rsid w:val="00F74768"/>
    <w:rsid w:val="00F74A0D"/>
    <w:rsid w:val="00F74A8B"/>
    <w:rsid w:val="00F758B4"/>
    <w:rsid w:val="00F75EA2"/>
    <w:rsid w:val="00F76A89"/>
    <w:rsid w:val="00F76F23"/>
    <w:rsid w:val="00F77061"/>
    <w:rsid w:val="00F773B3"/>
    <w:rsid w:val="00F776F4"/>
    <w:rsid w:val="00F77A39"/>
    <w:rsid w:val="00F801C0"/>
    <w:rsid w:val="00F80535"/>
    <w:rsid w:val="00F814E9"/>
    <w:rsid w:val="00F81D66"/>
    <w:rsid w:val="00F82FE4"/>
    <w:rsid w:val="00F83523"/>
    <w:rsid w:val="00F835BD"/>
    <w:rsid w:val="00F83BB6"/>
    <w:rsid w:val="00F84327"/>
    <w:rsid w:val="00F843CC"/>
    <w:rsid w:val="00F84D5A"/>
    <w:rsid w:val="00F84EA9"/>
    <w:rsid w:val="00F8532B"/>
    <w:rsid w:val="00F85465"/>
    <w:rsid w:val="00F874CB"/>
    <w:rsid w:val="00F876CA"/>
    <w:rsid w:val="00F90D11"/>
    <w:rsid w:val="00F91074"/>
    <w:rsid w:val="00F9117E"/>
    <w:rsid w:val="00F91E16"/>
    <w:rsid w:val="00F923BC"/>
    <w:rsid w:val="00F92606"/>
    <w:rsid w:val="00F92BC3"/>
    <w:rsid w:val="00F92CE8"/>
    <w:rsid w:val="00F92EFE"/>
    <w:rsid w:val="00F934E4"/>
    <w:rsid w:val="00F938B5"/>
    <w:rsid w:val="00F944BD"/>
    <w:rsid w:val="00F945D5"/>
    <w:rsid w:val="00F946A1"/>
    <w:rsid w:val="00F94710"/>
    <w:rsid w:val="00F94C56"/>
    <w:rsid w:val="00F95082"/>
    <w:rsid w:val="00F9543D"/>
    <w:rsid w:val="00F968A0"/>
    <w:rsid w:val="00F96F33"/>
    <w:rsid w:val="00F971CC"/>
    <w:rsid w:val="00F97EBC"/>
    <w:rsid w:val="00FA0393"/>
    <w:rsid w:val="00FA03C3"/>
    <w:rsid w:val="00FA0822"/>
    <w:rsid w:val="00FA0A26"/>
    <w:rsid w:val="00FA147E"/>
    <w:rsid w:val="00FA16BF"/>
    <w:rsid w:val="00FA1876"/>
    <w:rsid w:val="00FA19DE"/>
    <w:rsid w:val="00FA1D4F"/>
    <w:rsid w:val="00FA2F85"/>
    <w:rsid w:val="00FA31FA"/>
    <w:rsid w:val="00FA33DD"/>
    <w:rsid w:val="00FA35F5"/>
    <w:rsid w:val="00FA36A2"/>
    <w:rsid w:val="00FA3856"/>
    <w:rsid w:val="00FA3B69"/>
    <w:rsid w:val="00FA3C38"/>
    <w:rsid w:val="00FA3ED4"/>
    <w:rsid w:val="00FA4D8E"/>
    <w:rsid w:val="00FA53B1"/>
    <w:rsid w:val="00FA54E9"/>
    <w:rsid w:val="00FA59BC"/>
    <w:rsid w:val="00FA5DBB"/>
    <w:rsid w:val="00FA6221"/>
    <w:rsid w:val="00FA63C5"/>
    <w:rsid w:val="00FA68A5"/>
    <w:rsid w:val="00FA6B22"/>
    <w:rsid w:val="00FA6BE1"/>
    <w:rsid w:val="00FA74AE"/>
    <w:rsid w:val="00FA7696"/>
    <w:rsid w:val="00FA796D"/>
    <w:rsid w:val="00FA7BFA"/>
    <w:rsid w:val="00FA7CDB"/>
    <w:rsid w:val="00FB0069"/>
    <w:rsid w:val="00FB03BA"/>
    <w:rsid w:val="00FB0959"/>
    <w:rsid w:val="00FB0B9C"/>
    <w:rsid w:val="00FB0BCD"/>
    <w:rsid w:val="00FB10CB"/>
    <w:rsid w:val="00FB1309"/>
    <w:rsid w:val="00FB278F"/>
    <w:rsid w:val="00FB2A7A"/>
    <w:rsid w:val="00FB2C2A"/>
    <w:rsid w:val="00FB38A4"/>
    <w:rsid w:val="00FB38E5"/>
    <w:rsid w:val="00FB3F81"/>
    <w:rsid w:val="00FB4497"/>
    <w:rsid w:val="00FB4B85"/>
    <w:rsid w:val="00FB54AE"/>
    <w:rsid w:val="00FB54F7"/>
    <w:rsid w:val="00FB552C"/>
    <w:rsid w:val="00FB67D3"/>
    <w:rsid w:val="00FB69EE"/>
    <w:rsid w:val="00FB7C81"/>
    <w:rsid w:val="00FC0A68"/>
    <w:rsid w:val="00FC0DED"/>
    <w:rsid w:val="00FC12B1"/>
    <w:rsid w:val="00FC1CDC"/>
    <w:rsid w:val="00FC223A"/>
    <w:rsid w:val="00FC2486"/>
    <w:rsid w:val="00FC2695"/>
    <w:rsid w:val="00FC2991"/>
    <w:rsid w:val="00FC2B5D"/>
    <w:rsid w:val="00FC2F32"/>
    <w:rsid w:val="00FC3328"/>
    <w:rsid w:val="00FC3885"/>
    <w:rsid w:val="00FC3DAE"/>
    <w:rsid w:val="00FC4B95"/>
    <w:rsid w:val="00FC4DC7"/>
    <w:rsid w:val="00FC4E23"/>
    <w:rsid w:val="00FC57FC"/>
    <w:rsid w:val="00FC59B4"/>
    <w:rsid w:val="00FC5FEF"/>
    <w:rsid w:val="00FC64D5"/>
    <w:rsid w:val="00FC6B25"/>
    <w:rsid w:val="00FC76EB"/>
    <w:rsid w:val="00FC77CB"/>
    <w:rsid w:val="00FC7810"/>
    <w:rsid w:val="00FC7982"/>
    <w:rsid w:val="00FC7AA0"/>
    <w:rsid w:val="00FD00C2"/>
    <w:rsid w:val="00FD04B3"/>
    <w:rsid w:val="00FD0AA7"/>
    <w:rsid w:val="00FD0D22"/>
    <w:rsid w:val="00FD0D9B"/>
    <w:rsid w:val="00FD1074"/>
    <w:rsid w:val="00FD1E48"/>
    <w:rsid w:val="00FD274A"/>
    <w:rsid w:val="00FD324D"/>
    <w:rsid w:val="00FD360C"/>
    <w:rsid w:val="00FD3B55"/>
    <w:rsid w:val="00FD437B"/>
    <w:rsid w:val="00FD43A0"/>
    <w:rsid w:val="00FD4859"/>
    <w:rsid w:val="00FD54F6"/>
    <w:rsid w:val="00FD5511"/>
    <w:rsid w:val="00FD5C39"/>
    <w:rsid w:val="00FD5DFC"/>
    <w:rsid w:val="00FD76F5"/>
    <w:rsid w:val="00FD7FE6"/>
    <w:rsid w:val="00FE0389"/>
    <w:rsid w:val="00FE05B4"/>
    <w:rsid w:val="00FE0C3D"/>
    <w:rsid w:val="00FE0E64"/>
    <w:rsid w:val="00FE1350"/>
    <w:rsid w:val="00FE14A9"/>
    <w:rsid w:val="00FE168D"/>
    <w:rsid w:val="00FE1AC8"/>
    <w:rsid w:val="00FE1C57"/>
    <w:rsid w:val="00FE23C2"/>
    <w:rsid w:val="00FE2B1B"/>
    <w:rsid w:val="00FE3089"/>
    <w:rsid w:val="00FE33BE"/>
    <w:rsid w:val="00FE392D"/>
    <w:rsid w:val="00FE40BD"/>
    <w:rsid w:val="00FE435D"/>
    <w:rsid w:val="00FE4743"/>
    <w:rsid w:val="00FE5906"/>
    <w:rsid w:val="00FE5E62"/>
    <w:rsid w:val="00FE6523"/>
    <w:rsid w:val="00FE6A1D"/>
    <w:rsid w:val="00FE7234"/>
    <w:rsid w:val="00FE7A21"/>
    <w:rsid w:val="00FF078A"/>
    <w:rsid w:val="00FF1799"/>
    <w:rsid w:val="00FF1CA6"/>
    <w:rsid w:val="00FF26E1"/>
    <w:rsid w:val="00FF2804"/>
    <w:rsid w:val="00FF2A4E"/>
    <w:rsid w:val="00FF316A"/>
    <w:rsid w:val="00FF34DD"/>
    <w:rsid w:val="00FF37BD"/>
    <w:rsid w:val="00FF3CED"/>
    <w:rsid w:val="00FF49BB"/>
    <w:rsid w:val="00FF4A69"/>
    <w:rsid w:val="00FF5216"/>
    <w:rsid w:val="00FF554A"/>
    <w:rsid w:val="00FF56B7"/>
    <w:rsid w:val="00FF5BED"/>
    <w:rsid w:val="00FF5C21"/>
    <w:rsid w:val="00FF6009"/>
    <w:rsid w:val="00FF60F7"/>
    <w:rsid w:val="00FF62F3"/>
    <w:rsid w:val="00FF678F"/>
    <w:rsid w:val="00FF6CD1"/>
    <w:rsid w:val="00FF6F59"/>
    <w:rsid w:val="00FF7077"/>
    <w:rsid w:val="00FF7355"/>
    <w:rsid w:val="00FF75FC"/>
    <w:rsid w:val="00FF7A90"/>
    <w:rsid w:val="00FF7E4D"/>
    <w:rsid w:val="0115454E"/>
    <w:rsid w:val="011F1CEE"/>
    <w:rsid w:val="01242C11"/>
    <w:rsid w:val="013B5510"/>
    <w:rsid w:val="013D13C6"/>
    <w:rsid w:val="01422B07"/>
    <w:rsid w:val="01462EFE"/>
    <w:rsid w:val="015E0BE9"/>
    <w:rsid w:val="018F1416"/>
    <w:rsid w:val="01AB094A"/>
    <w:rsid w:val="01B306E4"/>
    <w:rsid w:val="01CA4B81"/>
    <w:rsid w:val="01D27A5F"/>
    <w:rsid w:val="0201766A"/>
    <w:rsid w:val="02151F95"/>
    <w:rsid w:val="022E47B0"/>
    <w:rsid w:val="02554999"/>
    <w:rsid w:val="02574326"/>
    <w:rsid w:val="025B75F9"/>
    <w:rsid w:val="02767EF6"/>
    <w:rsid w:val="0298735F"/>
    <w:rsid w:val="02B34E07"/>
    <w:rsid w:val="030B3123"/>
    <w:rsid w:val="030F5EB8"/>
    <w:rsid w:val="031B3D3A"/>
    <w:rsid w:val="03300F14"/>
    <w:rsid w:val="03382F46"/>
    <w:rsid w:val="033A53C5"/>
    <w:rsid w:val="033A53FA"/>
    <w:rsid w:val="037C375A"/>
    <w:rsid w:val="037C5BED"/>
    <w:rsid w:val="03871F70"/>
    <w:rsid w:val="03915486"/>
    <w:rsid w:val="03AE2B70"/>
    <w:rsid w:val="03C200B6"/>
    <w:rsid w:val="03D81924"/>
    <w:rsid w:val="03E9024B"/>
    <w:rsid w:val="03E925DE"/>
    <w:rsid w:val="03F638B5"/>
    <w:rsid w:val="042B188D"/>
    <w:rsid w:val="043A302C"/>
    <w:rsid w:val="043F479D"/>
    <w:rsid w:val="046C35A2"/>
    <w:rsid w:val="0492209E"/>
    <w:rsid w:val="04A05530"/>
    <w:rsid w:val="04B345F7"/>
    <w:rsid w:val="04BE7DD0"/>
    <w:rsid w:val="04EB3650"/>
    <w:rsid w:val="050D0125"/>
    <w:rsid w:val="054445DB"/>
    <w:rsid w:val="055A06C9"/>
    <w:rsid w:val="05702DF2"/>
    <w:rsid w:val="05733EFD"/>
    <w:rsid w:val="058D2653"/>
    <w:rsid w:val="05A11E98"/>
    <w:rsid w:val="05C451FF"/>
    <w:rsid w:val="05EA3121"/>
    <w:rsid w:val="05EB37CA"/>
    <w:rsid w:val="05EF39F0"/>
    <w:rsid w:val="05F5374C"/>
    <w:rsid w:val="060D79A1"/>
    <w:rsid w:val="061E5BAD"/>
    <w:rsid w:val="06257099"/>
    <w:rsid w:val="067751BD"/>
    <w:rsid w:val="06CF7159"/>
    <w:rsid w:val="06D32D7E"/>
    <w:rsid w:val="06E21138"/>
    <w:rsid w:val="06E64C63"/>
    <w:rsid w:val="06F24EF2"/>
    <w:rsid w:val="07470651"/>
    <w:rsid w:val="074D4DAB"/>
    <w:rsid w:val="07AE7932"/>
    <w:rsid w:val="07B814E5"/>
    <w:rsid w:val="07D013A8"/>
    <w:rsid w:val="07D648D8"/>
    <w:rsid w:val="07FD44E9"/>
    <w:rsid w:val="0805407D"/>
    <w:rsid w:val="08127126"/>
    <w:rsid w:val="08132E8B"/>
    <w:rsid w:val="081D706E"/>
    <w:rsid w:val="085D519A"/>
    <w:rsid w:val="086D1BC3"/>
    <w:rsid w:val="08706B4B"/>
    <w:rsid w:val="088B79C8"/>
    <w:rsid w:val="08B52854"/>
    <w:rsid w:val="08CA0CC8"/>
    <w:rsid w:val="08CE61CB"/>
    <w:rsid w:val="08D2064E"/>
    <w:rsid w:val="08F44BC5"/>
    <w:rsid w:val="08FA203B"/>
    <w:rsid w:val="094B14E7"/>
    <w:rsid w:val="095256C8"/>
    <w:rsid w:val="09841AF3"/>
    <w:rsid w:val="09AB29D4"/>
    <w:rsid w:val="0A32370E"/>
    <w:rsid w:val="0A585A2D"/>
    <w:rsid w:val="0A594E3E"/>
    <w:rsid w:val="0A5C768D"/>
    <w:rsid w:val="0A6F50FD"/>
    <w:rsid w:val="0A895CF1"/>
    <w:rsid w:val="0A934843"/>
    <w:rsid w:val="0A9E4A8D"/>
    <w:rsid w:val="0A9F2012"/>
    <w:rsid w:val="0AAA6D9C"/>
    <w:rsid w:val="0AB218F9"/>
    <w:rsid w:val="0AB53627"/>
    <w:rsid w:val="0ACE1EAB"/>
    <w:rsid w:val="0AE65CB9"/>
    <w:rsid w:val="0AE96B11"/>
    <w:rsid w:val="0AFD09EB"/>
    <w:rsid w:val="0B07538C"/>
    <w:rsid w:val="0B1A274D"/>
    <w:rsid w:val="0B254ED4"/>
    <w:rsid w:val="0B2E5D46"/>
    <w:rsid w:val="0B3506F5"/>
    <w:rsid w:val="0B3A4E5B"/>
    <w:rsid w:val="0B5823AA"/>
    <w:rsid w:val="0B827907"/>
    <w:rsid w:val="0B8C4C1A"/>
    <w:rsid w:val="0B9549DB"/>
    <w:rsid w:val="0B9D13EC"/>
    <w:rsid w:val="0BA07E46"/>
    <w:rsid w:val="0BB10DC7"/>
    <w:rsid w:val="0BC032D6"/>
    <w:rsid w:val="0BC10793"/>
    <w:rsid w:val="0BDB1E35"/>
    <w:rsid w:val="0BDB6546"/>
    <w:rsid w:val="0C060DDB"/>
    <w:rsid w:val="0C195365"/>
    <w:rsid w:val="0C6F4E58"/>
    <w:rsid w:val="0CFB1DB9"/>
    <w:rsid w:val="0D220294"/>
    <w:rsid w:val="0D3A4A42"/>
    <w:rsid w:val="0D5773D6"/>
    <w:rsid w:val="0D594DB6"/>
    <w:rsid w:val="0D632B1E"/>
    <w:rsid w:val="0D7D7848"/>
    <w:rsid w:val="0D8E173E"/>
    <w:rsid w:val="0DA10A04"/>
    <w:rsid w:val="0DE14C3F"/>
    <w:rsid w:val="0DF13B47"/>
    <w:rsid w:val="0E0A5187"/>
    <w:rsid w:val="0E332166"/>
    <w:rsid w:val="0E3917FF"/>
    <w:rsid w:val="0E613656"/>
    <w:rsid w:val="0E72787E"/>
    <w:rsid w:val="0E9F5739"/>
    <w:rsid w:val="0EC3008E"/>
    <w:rsid w:val="0EDB339F"/>
    <w:rsid w:val="0F125211"/>
    <w:rsid w:val="0F152A9D"/>
    <w:rsid w:val="0F1E7B0D"/>
    <w:rsid w:val="0F62047F"/>
    <w:rsid w:val="0F6B41F3"/>
    <w:rsid w:val="0F7A2097"/>
    <w:rsid w:val="0F7F1100"/>
    <w:rsid w:val="0F816B6A"/>
    <w:rsid w:val="0F82210C"/>
    <w:rsid w:val="0F950757"/>
    <w:rsid w:val="0FA36B70"/>
    <w:rsid w:val="0FA37671"/>
    <w:rsid w:val="0FAC2C6D"/>
    <w:rsid w:val="0FB70395"/>
    <w:rsid w:val="0FBA4112"/>
    <w:rsid w:val="0FBB0658"/>
    <w:rsid w:val="0FBB10D0"/>
    <w:rsid w:val="0FDA6A10"/>
    <w:rsid w:val="10040C3F"/>
    <w:rsid w:val="100B59FA"/>
    <w:rsid w:val="10110CDB"/>
    <w:rsid w:val="10206D1E"/>
    <w:rsid w:val="105F040B"/>
    <w:rsid w:val="107A5169"/>
    <w:rsid w:val="107B4EBF"/>
    <w:rsid w:val="107C4D2C"/>
    <w:rsid w:val="10881C30"/>
    <w:rsid w:val="108A6F8A"/>
    <w:rsid w:val="10A32DF1"/>
    <w:rsid w:val="10A50D79"/>
    <w:rsid w:val="10AB24DF"/>
    <w:rsid w:val="10B455AD"/>
    <w:rsid w:val="10D653BA"/>
    <w:rsid w:val="10DB6356"/>
    <w:rsid w:val="10EF5ED1"/>
    <w:rsid w:val="112A5200"/>
    <w:rsid w:val="112B7604"/>
    <w:rsid w:val="11306888"/>
    <w:rsid w:val="1168799E"/>
    <w:rsid w:val="11A64DBC"/>
    <w:rsid w:val="11AF324A"/>
    <w:rsid w:val="1228310E"/>
    <w:rsid w:val="12325B1D"/>
    <w:rsid w:val="1244691E"/>
    <w:rsid w:val="1251591B"/>
    <w:rsid w:val="126B461E"/>
    <w:rsid w:val="127D72F2"/>
    <w:rsid w:val="12A908D3"/>
    <w:rsid w:val="12AA7F02"/>
    <w:rsid w:val="12DE33CA"/>
    <w:rsid w:val="12FF52DE"/>
    <w:rsid w:val="13344C16"/>
    <w:rsid w:val="1343505A"/>
    <w:rsid w:val="13544A6B"/>
    <w:rsid w:val="137A40BD"/>
    <w:rsid w:val="13992B75"/>
    <w:rsid w:val="13B563DA"/>
    <w:rsid w:val="13BD31AB"/>
    <w:rsid w:val="13CD27B6"/>
    <w:rsid w:val="13E532CA"/>
    <w:rsid w:val="13ED0B0B"/>
    <w:rsid w:val="13ED7D7F"/>
    <w:rsid w:val="14176353"/>
    <w:rsid w:val="141F7FB3"/>
    <w:rsid w:val="14242FDA"/>
    <w:rsid w:val="14436E72"/>
    <w:rsid w:val="144F55C3"/>
    <w:rsid w:val="1450322B"/>
    <w:rsid w:val="14637D36"/>
    <w:rsid w:val="147E33CA"/>
    <w:rsid w:val="1487373C"/>
    <w:rsid w:val="14960C1B"/>
    <w:rsid w:val="14B0700C"/>
    <w:rsid w:val="14C34089"/>
    <w:rsid w:val="14DB33FC"/>
    <w:rsid w:val="14DE0AFC"/>
    <w:rsid w:val="14EF3B8A"/>
    <w:rsid w:val="14F44F2E"/>
    <w:rsid w:val="14FA6682"/>
    <w:rsid w:val="15416178"/>
    <w:rsid w:val="1561603B"/>
    <w:rsid w:val="15706877"/>
    <w:rsid w:val="158E0E99"/>
    <w:rsid w:val="158F48E5"/>
    <w:rsid w:val="15C94A90"/>
    <w:rsid w:val="15D74588"/>
    <w:rsid w:val="15EB4378"/>
    <w:rsid w:val="15EF5386"/>
    <w:rsid w:val="160B185E"/>
    <w:rsid w:val="1628036C"/>
    <w:rsid w:val="16435A3F"/>
    <w:rsid w:val="16682301"/>
    <w:rsid w:val="16704155"/>
    <w:rsid w:val="16796F0F"/>
    <w:rsid w:val="1688556A"/>
    <w:rsid w:val="16A00FDF"/>
    <w:rsid w:val="16A32AAC"/>
    <w:rsid w:val="16AF0615"/>
    <w:rsid w:val="16BD0B49"/>
    <w:rsid w:val="16D50CFC"/>
    <w:rsid w:val="16DD417E"/>
    <w:rsid w:val="16E33AB3"/>
    <w:rsid w:val="16EB76EF"/>
    <w:rsid w:val="170118CA"/>
    <w:rsid w:val="171B0546"/>
    <w:rsid w:val="17304A49"/>
    <w:rsid w:val="173353C2"/>
    <w:rsid w:val="17580847"/>
    <w:rsid w:val="17874ED3"/>
    <w:rsid w:val="17886A2C"/>
    <w:rsid w:val="178F26E7"/>
    <w:rsid w:val="17966843"/>
    <w:rsid w:val="17A9660F"/>
    <w:rsid w:val="17D80F4C"/>
    <w:rsid w:val="17E14521"/>
    <w:rsid w:val="18117661"/>
    <w:rsid w:val="181D23D4"/>
    <w:rsid w:val="18523ADE"/>
    <w:rsid w:val="1866694B"/>
    <w:rsid w:val="186C1ACE"/>
    <w:rsid w:val="188C6C7D"/>
    <w:rsid w:val="18960812"/>
    <w:rsid w:val="189C16A5"/>
    <w:rsid w:val="189C7EF6"/>
    <w:rsid w:val="18B04B4D"/>
    <w:rsid w:val="18E87E12"/>
    <w:rsid w:val="18F5052C"/>
    <w:rsid w:val="191D14D9"/>
    <w:rsid w:val="195529C1"/>
    <w:rsid w:val="19693EEF"/>
    <w:rsid w:val="196B5F41"/>
    <w:rsid w:val="196F6A9B"/>
    <w:rsid w:val="19D1732F"/>
    <w:rsid w:val="1A200A74"/>
    <w:rsid w:val="1A3055B8"/>
    <w:rsid w:val="1A5655AF"/>
    <w:rsid w:val="1A6B5CD7"/>
    <w:rsid w:val="1A9B675D"/>
    <w:rsid w:val="1AB64C0C"/>
    <w:rsid w:val="1ADE3E70"/>
    <w:rsid w:val="1AE42348"/>
    <w:rsid w:val="1AF2383D"/>
    <w:rsid w:val="1B0E0039"/>
    <w:rsid w:val="1B157C1A"/>
    <w:rsid w:val="1B211C8A"/>
    <w:rsid w:val="1B325062"/>
    <w:rsid w:val="1B99173F"/>
    <w:rsid w:val="1B9E5782"/>
    <w:rsid w:val="1B9F2F5B"/>
    <w:rsid w:val="1BA31D38"/>
    <w:rsid w:val="1BB15A38"/>
    <w:rsid w:val="1BB32D92"/>
    <w:rsid w:val="1BCA4E13"/>
    <w:rsid w:val="1BE75134"/>
    <w:rsid w:val="1BEB39AC"/>
    <w:rsid w:val="1C3C5A93"/>
    <w:rsid w:val="1C4852DE"/>
    <w:rsid w:val="1C4D45E0"/>
    <w:rsid w:val="1C8A1EF5"/>
    <w:rsid w:val="1CB701AA"/>
    <w:rsid w:val="1CCA0F66"/>
    <w:rsid w:val="1CCB1DE0"/>
    <w:rsid w:val="1CDE446D"/>
    <w:rsid w:val="1CE20210"/>
    <w:rsid w:val="1D464FEE"/>
    <w:rsid w:val="1D644902"/>
    <w:rsid w:val="1D8C2BA2"/>
    <w:rsid w:val="1D905228"/>
    <w:rsid w:val="1DF24DA6"/>
    <w:rsid w:val="1DF43659"/>
    <w:rsid w:val="1DFC21EE"/>
    <w:rsid w:val="1E4473F8"/>
    <w:rsid w:val="1E50751B"/>
    <w:rsid w:val="1E651A50"/>
    <w:rsid w:val="1E6D1C74"/>
    <w:rsid w:val="1E736E4E"/>
    <w:rsid w:val="1E7E5EB1"/>
    <w:rsid w:val="1E8D271A"/>
    <w:rsid w:val="1EA61B83"/>
    <w:rsid w:val="1EA82227"/>
    <w:rsid w:val="1EAD188D"/>
    <w:rsid w:val="1EF23920"/>
    <w:rsid w:val="1F234826"/>
    <w:rsid w:val="1F5E0D38"/>
    <w:rsid w:val="1F5F4414"/>
    <w:rsid w:val="1F826970"/>
    <w:rsid w:val="1F972A67"/>
    <w:rsid w:val="1FA317AB"/>
    <w:rsid w:val="1FE20B41"/>
    <w:rsid w:val="1FEE648E"/>
    <w:rsid w:val="1FF433BA"/>
    <w:rsid w:val="1FF9202F"/>
    <w:rsid w:val="20003026"/>
    <w:rsid w:val="200F3B23"/>
    <w:rsid w:val="201967D7"/>
    <w:rsid w:val="20374786"/>
    <w:rsid w:val="2039386F"/>
    <w:rsid w:val="20601C10"/>
    <w:rsid w:val="207149F4"/>
    <w:rsid w:val="20A13861"/>
    <w:rsid w:val="20BB0C31"/>
    <w:rsid w:val="20CF37FC"/>
    <w:rsid w:val="20D717F3"/>
    <w:rsid w:val="20F12135"/>
    <w:rsid w:val="20F90AAC"/>
    <w:rsid w:val="21182B79"/>
    <w:rsid w:val="212B616E"/>
    <w:rsid w:val="213121BA"/>
    <w:rsid w:val="214A2960"/>
    <w:rsid w:val="215302B9"/>
    <w:rsid w:val="218D006A"/>
    <w:rsid w:val="218E4A09"/>
    <w:rsid w:val="218E6399"/>
    <w:rsid w:val="21DF3292"/>
    <w:rsid w:val="2229623B"/>
    <w:rsid w:val="224A56C3"/>
    <w:rsid w:val="224C2951"/>
    <w:rsid w:val="227A54E3"/>
    <w:rsid w:val="22BD3256"/>
    <w:rsid w:val="22D07449"/>
    <w:rsid w:val="22D67C44"/>
    <w:rsid w:val="230B248C"/>
    <w:rsid w:val="231E3ED2"/>
    <w:rsid w:val="23537C14"/>
    <w:rsid w:val="23700EEA"/>
    <w:rsid w:val="238C42D2"/>
    <w:rsid w:val="2393048F"/>
    <w:rsid w:val="239E3C8F"/>
    <w:rsid w:val="23A06B4E"/>
    <w:rsid w:val="23A40CCF"/>
    <w:rsid w:val="23B0013B"/>
    <w:rsid w:val="24351B4F"/>
    <w:rsid w:val="24576A62"/>
    <w:rsid w:val="246E76BE"/>
    <w:rsid w:val="24762507"/>
    <w:rsid w:val="24863B93"/>
    <w:rsid w:val="24951E61"/>
    <w:rsid w:val="24B346B5"/>
    <w:rsid w:val="24B606B7"/>
    <w:rsid w:val="24EC3BCA"/>
    <w:rsid w:val="24EF6448"/>
    <w:rsid w:val="24F71B8F"/>
    <w:rsid w:val="250C0B5D"/>
    <w:rsid w:val="25335BFF"/>
    <w:rsid w:val="253D4E51"/>
    <w:rsid w:val="25451F40"/>
    <w:rsid w:val="2569332C"/>
    <w:rsid w:val="25893EFE"/>
    <w:rsid w:val="25BE6749"/>
    <w:rsid w:val="25DE0185"/>
    <w:rsid w:val="25E04003"/>
    <w:rsid w:val="25EE6875"/>
    <w:rsid w:val="260C334C"/>
    <w:rsid w:val="26276BC7"/>
    <w:rsid w:val="26412189"/>
    <w:rsid w:val="26566E1C"/>
    <w:rsid w:val="26A10A64"/>
    <w:rsid w:val="26A24282"/>
    <w:rsid w:val="26AF4078"/>
    <w:rsid w:val="26AF761E"/>
    <w:rsid w:val="26BB6790"/>
    <w:rsid w:val="26C84C3F"/>
    <w:rsid w:val="26CA39FA"/>
    <w:rsid w:val="26DB2072"/>
    <w:rsid w:val="26FF5359"/>
    <w:rsid w:val="271D238B"/>
    <w:rsid w:val="2737495D"/>
    <w:rsid w:val="27862FAB"/>
    <w:rsid w:val="278F67DD"/>
    <w:rsid w:val="27B778B7"/>
    <w:rsid w:val="27CE4805"/>
    <w:rsid w:val="27DC01C9"/>
    <w:rsid w:val="27EA6D62"/>
    <w:rsid w:val="28300784"/>
    <w:rsid w:val="287D7FC1"/>
    <w:rsid w:val="289E6725"/>
    <w:rsid w:val="28A74A3E"/>
    <w:rsid w:val="28A95980"/>
    <w:rsid w:val="29057EC1"/>
    <w:rsid w:val="290A1B78"/>
    <w:rsid w:val="292011C8"/>
    <w:rsid w:val="293757A5"/>
    <w:rsid w:val="293D0E03"/>
    <w:rsid w:val="293F5958"/>
    <w:rsid w:val="294A094A"/>
    <w:rsid w:val="29C52E87"/>
    <w:rsid w:val="29D9317B"/>
    <w:rsid w:val="29F116D0"/>
    <w:rsid w:val="2A0241CA"/>
    <w:rsid w:val="2A0777DB"/>
    <w:rsid w:val="2A1E7E82"/>
    <w:rsid w:val="2A7D5C08"/>
    <w:rsid w:val="2AA47786"/>
    <w:rsid w:val="2AAA19F3"/>
    <w:rsid w:val="2AAC2783"/>
    <w:rsid w:val="2AAD65EE"/>
    <w:rsid w:val="2AC77380"/>
    <w:rsid w:val="2ADD6AFD"/>
    <w:rsid w:val="2ADE6550"/>
    <w:rsid w:val="2AFE0D9C"/>
    <w:rsid w:val="2B2E0309"/>
    <w:rsid w:val="2B422946"/>
    <w:rsid w:val="2B5B34DC"/>
    <w:rsid w:val="2B76579E"/>
    <w:rsid w:val="2B7E3CAD"/>
    <w:rsid w:val="2B831E93"/>
    <w:rsid w:val="2BA57D96"/>
    <w:rsid w:val="2BAE29A1"/>
    <w:rsid w:val="2BBE438D"/>
    <w:rsid w:val="2BE373EE"/>
    <w:rsid w:val="2C295EB9"/>
    <w:rsid w:val="2C4628DA"/>
    <w:rsid w:val="2C622710"/>
    <w:rsid w:val="2C644BAF"/>
    <w:rsid w:val="2C675CA2"/>
    <w:rsid w:val="2C7A1A31"/>
    <w:rsid w:val="2C7C7D79"/>
    <w:rsid w:val="2C9466E2"/>
    <w:rsid w:val="2CAF6B04"/>
    <w:rsid w:val="2CB0279E"/>
    <w:rsid w:val="2CD12AE5"/>
    <w:rsid w:val="2CD6509A"/>
    <w:rsid w:val="2CF95958"/>
    <w:rsid w:val="2D3A323B"/>
    <w:rsid w:val="2D4B55E5"/>
    <w:rsid w:val="2D53589F"/>
    <w:rsid w:val="2D7646A7"/>
    <w:rsid w:val="2D863175"/>
    <w:rsid w:val="2D8979FD"/>
    <w:rsid w:val="2DDC0104"/>
    <w:rsid w:val="2DE379BB"/>
    <w:rsid w:val="2E0177B9"/>
    <w:rsid w:val="2E034F95"/>
    <w:rsid w:val="2E1D2BF2"/>
    <w:rsid w:val="2E3B2A47"/>
    <w:rsid w:val="2E6003A4"/>
    <w:rsid w:val="2E69729D"/>
    <w:rsid w:val="2E8543E2"/>
    <w:rsid w:val="2E9B575E"/>
    <w:rsid w:val="2EB809B1"/>
    <w:rsid w:val="2EB81831"/>
    <w:rsid w:val="2ECF7A85"/>
    <w:rsid w:val="2F1B7D20"/>
    <w:rsid w:val="2F2B5ABF"/>
    <w:rsid w:val="2F2E604D"/>
    <w:rsid w:val="2F417886"/>
    <w:rsid w:val="2F882E85"/>
    <w:rsid w:val="2F9A7F4A"/>
    <w:rsid w:val="2FBE7A06"/>
    <w:rsid w:val="2FC733B8"/>
    <w:rsid w:val="2FCA4F20"/>
    <w:rsid w:val="300C4C70"/>
    <w:rsid w:val="303371BB"/>
    <w:rsid w:val="3044399D"/>
    <w:rsid w:val="305868C6"/>
    <w:rsid w:val="306445C1"/>
    <w:rsid w:val="306F3DBA"/>
    <w:rsid w:val="30896C6B"/>
    <w:rsid w:val="30D2261F"/>
    <w:rsid w:val="30DE0226"/>
    <w:rsid w:val="31007D5E"/>
    <w:rsid w:val="31115223"/>
    <w:rsid w:val="311E570C"/>
    <w:rsid w:val="31263645"/>
    <w:rsid w:val="312D36B5"/>
    <w:rsid w:val="316A0838"/>
    <w:rsid w:val="316B13D5"/>
    <w:rsid w:val="3171750A"/>
    <w:rsid w:val="31720F1D"/>
    <w:rsid w:val="31745B98"/>
    <w:rsid w:val="317E525C"/>
    <w:rsid w:val="319951C3"/>
    <w:rsid w:val="31BF03E5"/>
    <w:rsid w:val="31E65427"/>
    <w:rsid w:val="31F43BF9"/>
    <w:rsid w:val="31F96A5C"/>
    <w:rsid w:val="31FE3F69"/>
    <w:rsid w:val="320733C3"/>
    <w:rsid w:val="321C18F4"/>
    <w:rsid w:val="321C2B52"/>
    <w:rsid w:val="321F61EC"/>
    <w:rsid w:val="324F04DB"/>
    <w:rsid w:val="32702FC0"/>
    <w:rsid w:val="327144B7"/>
    <w:rsid w:val="32CA65F9"/>
    <w:rsid w:val="33054854"/>
    <w:rsid w:val="33064DC6"/>
    <w:rsid w:val="330A16FB"/>
    <w:rsid w:val="33141FF7"/>
    <w:rsid w:val="33482976"/>
    <w:rsid w:val="33506C9F"/>
    <w:rsid w:val="33775E05"/>
    <w:rsid w:val="338574F9"/>
    <w:rsid w:val="33A078AB"/>
    <w:rsid w:val="33A222F8"/>
    <w:rsid w:val="33B85C62"/>
    <w:rsid w:val="33C3614F"/>
    <w:rsid w:val="33D62B96"/>
    <w:rsid w:val="342F5D68"/>
    <w:rsid w:val="344127C5"/>
    <w:rsid w:val="34526E6E"/>
    <w:rsid w:val="345B1895"/>
    <w:rsid w:val="3485590E"/>
    <w:rsid w:val="34946C2E"/>
    <w:rsid w:val="34A24AD6"/>
    <w:rsid w:val="34C04708"/>
    <w:rsid w:val="34D46D17"/>
    <w:rsid w:val="34E51AA2"/>
    <w:rsid w:val="34FD5844"/>
    <w:rsid w:val="35132D17"/>
    <w:rsid w:val="35280DED"/>
    <w:rsid w:val="35463167"/>
    <w:rsid w:val="35665ADB"/>
    <w:rsid w:val="35816EB9"/>
    <w:rsid w:val="35821E3D"/>
    <w:rsid w:val="359F5261"/>
    <w:rsid w:val="35C2434B"/>
    <w:rsid w:val="35FE7215"/>
    <w:rsid w:val="35FF2DF2"/>
    <w:rsid w:val="36000F59"/>
    <w:rsid w:val="360B232F"/>
    <w:rsid w:val="36247CCA"/>
    <w:rsid w:val="36280FB0"/>
    <w:rsid w:val="36400759"/>
    <w:rsid w:val="364225B8"/>
    <w:rsid w:val="367B06EC"/>
    <w:rsid w:val="368E09AF"/>
    <w:rsid w:val="36AF0D32"/>
    <w:rsid w:val="36C97969"/>
    <w:rsid w:val="36E62924"/>
    <w:rsid w:val="36E935BD"/>
    <w:rsid w:val="36ED465C"/>
    <w:rsid w:val="370058B6"/>
    <w:rsid w:val="37066B46"/>
    <w:rsid w:val="370914A0"/>
    <w:rsid w:val="37384B7D"/>
    <w:rsid w:val="37556EFB"/>
    <w:rsid w:val="37634C0D"/>
    <w:rsid w:val="37635AA2"/>
    <w:rsid w:val="37682FB9"/>
    <w:rsid w:val="376D038A"/>
    <w:rsid w:val="378D4EC4"/>
    <w:rsid w:val="37B01FC8"/>
    <w:rsid w:val="37F7211A"/>
    <w:rsid w:val="37FD2BB1"/>
    <w:rsid w:val="381B3138"/>
    <w:rsid w:val="381D63E4"/>
    <w:rsid w:val="38454C9B"/>
    <w:rsid w:val="388116C0"/>
    <w:rsid w:val="388C714F"/>
    <w:rsid w:val="38946C1E"/>
    <w:rsid w:val="38E37461"/>
    <w:rsid w:val="390331B7"/>
    <w:rsid w:val="39105A0A"/>
    <w:rsid w:val="391B76F1"/>
    <w:rsid w:val="392245B5"/>
    <w:rsid w:val="393D721A"/>
    <w:rsid w:val="393F0F59"/>
    <w:rsid w:val="39416036"/>
    <w:rsid w:val="394A6B61"/>
    <w:rsid w:val="394F360B"/>
    <w:rsid w:val="39754CA8"/>
    <w:rsid w:val="39825EF1"/>
    <w:rsid w:val="399D7118"/>
    <w:rsid w:val="39A708A3"/>
    <w:rsid w:val="39BC5220"/>
    <w:rsid w:val="39D879D3"/>
    <w:rsid w:val="39FC179E"/>
    <w:rsid w:val="3A014E17"/>
    <w:rsid w:val="3A066018"/>
    <w:rsid w:val="3A27547C"/>
    <w:rsid w:val="3A3871E3"/>
    <w:rsid w:val="3A3C3C45"/>
    <w:rsid w:val="3A404884"/>
    <w:rsid w:val="3A663EB0"/>
    <w:rsid w:val="3A87071A"/>
    <w:rsid w:val="3A9B7C92"/>
    <w:rsid w:val="3AAC76F2"/>
    <w:rsid w:val="3AD8079E"/>
    <w:rsid w:val="3AF05E33"/>
    <w:rsid w:val="3AF1344F"/>
    <w:rsid w:val="3B362C4D"/>
    <w:rsid w:val="3B942B73"/>
    <w:rsid w:val="3B9674D7"/>
    <w:rsid w:val="3BA20424"/>
    <w:rsid w:val="3BB335AC"/>
    <w:rsid w:val="3BD3067E"/>
    <w:rsid w:val="3BD53AB5"/>
    <w:rsid w:val="3BEF40B2"/>
    <w:rsid w:val="3BFF61D4"/>
    <w:rsid w:val="3C0104C3"/>
    <w:rsid w:val="3C262C87"/>
    <w:rsid w:val="3C3C39A0"/>
    <w:rsid w:val="3C804923"/>
    <w:rsid w:val="3C9D3765"/>
    <w:rsid w:val="3C9E0FAA"/>
    <w:rsid w:val="3CA30947"/>
    <w:rsid w:val="3CB85542"/>
    <w:rsid w:val="3CC000F8"/>
    <w:rsid w:val="3D071905"/>
    <w:rsid w:val="3D277613"/>
    <w:rsid w:val="3D2D39A9"/>
    <w:rsid w:val="3D3C5369"/>
    <w:rsid w:val="3D66205D"/>
    <w:rsid w:val="3D6D5EA9"/>
    <w:rsid w:val="3DA54021"/>
    <w:rsid w:val="3DD171A7"/>
    <w:rsid w:val="3DDC1724"/>
    <w:rsid w:val="3E2653DC"/>
    <w:rsid w:val="3E2B50D7"/>
    <w:rsid w:val="3E327F30"/>
    <w:rsid w:val="3E4754A6"/>
    <w:rsid w:val="3E786B14"/>
    <w:rsid w:val="3E860F10"/>
    <w:rsid w:val="3E913ADC"/>
    <w:rsid w:val="3E922B85"/>
    <w:rsid w:val="3E922D59"/>
    <w:rsid w:val="3EA3700C"/>
    <w:rsid w:val="3EB02205"/>
    <w:rsid w:val="3EB47903"/>
    <w:rsid w:val="3ED7637C"/>
    <w:rsid w:val="3EDF0CF3"/>
    <w:rsid w:val="3EE8557E"/>
    <w:rsid w:val="3EED740D"/>
    <w:rsid w:val="3F0E6AA3"/>
    <w:rsid w:val="3F2F6BD0"/>
    <w:rsid w:val="3F3330FC"/>
    <w:rsid w:val="3F4E48BC"/>
    <w:rsid w:val="3F4F338A"/>
    <w:rsid w:val="3F4F56AB"/>
    <w:rsid w:val="3F5C510C"/>
    <w:rsid w:val="3F652B34"/>
    <w:rsid w:val="3FB1447F"/>
    <w:rsid w:val="3FC35AFC"/>
    <w:rsid w:val="3FD1414D"/>
    <w:rsid w:val="3FD81218"/>
    <w:rsid w:val="400479C3"/>
    <w:rsid w:val="40404B79"/>
    <w:rsid w:val="40574922"/>
    <w:rsid w:val="40797278"/>
    <w:rsid w:val="408E3720"/>
    <w:rsid w:val="40912007"/>
    <w:rsid w:val="409B357D"/>
    <w:rsid w:val="40BC2DF7"/>
    <w:rsid w:val="40CE14CF"/>
    <w:rsid w:val="40CF6877"/>
    <w:rsid w:val="40E86C9E"/>
    <w:rsid w:val="411713CA"/>
    <w:rsid w:val="411A6663"/>
    <w:rsid w:val="412D5086"/>
    <w:rsid w:val="416E59E3"/>
    <w:rsid w:val="417C4EC1"/>
    <w:rsid w:val="419E4487"/>
    <w:rsid w:val="41A664B7"/>
    <w:rsid w:val="41DF5CBF"/>
    <w:rsid w:val="42226713"/>
    <w:rsid w:val="422B2BA1"/>
    <w:rsid w:val="4231785A"/>
    <w:rsid w:val="42584818"/>
    <w:rsid w:val="427E48C1"/>
    <w:rsid w:val="42926048"/>
    <w:rsid w:val="429B6E22"/>
    <w:rsid w:val="42C845D8"/>
    <w:rsid w:val="43262E27"/>
    <w:rsid w:val="434841F7"/>
    <w:rsid w:val="434D6B99"/>
    <w:rsid w:val="435334D8"/>
    <w:rsid w:val="43780316"/>
    <w:rsid w:val="437F792B"/>
    <w:rsid w:val="43BE214E"/>
    <w:rsid w:val="43ED298C"/>
    <w:rsid w:val="43EF2991"/>
    <w:rsid w:val="43F4696E"/>
    <w:rsid w:val="4422565E"/>
    <w:rsid w:val="444C2D48"/>
    <w:rsid w:val="44597BEE"/>
    <w:rsid w:val="447A4753"/>
    <w:rsid w:val="44DD300E"/>
    <w:rsid w:val="44E2656D"/>
    <w:rsid w:val="44F11452"/>
    <w:rsid w:val="45177BA4"/>
    <w:rsid w:val="451C551F"/>
    <w:rsid w:val="451F3CCA"/>
    <w:rsid w:val="45341196"/>
    <w:rsid w:val="45493A4F"/>
    <w:rsid w:val="454E4188"/>
    <w:rsid w:val="45727755"/>
    <w:rsid w:val="458227AE"/>
    <w:rsid w:val="45BA5028"/>
    <w:rsid w:val="45CA6C10"/>
    <w:rsid w:val="45E03532"/>
    <w:rsid w:val="45FC5428"/>
    <w:rsid w:val="462D5957"/>
    <w:rsid w:val="465346A2"/>
    <w:rsid w:val="46586687"/>
    <w:rsid w:val="466309D9"/>
    <w:rsid w:val="466A2150"/>
    <w:rsid w:val="466D3B0A"/>
    <w:rsid w:val="46844FFB"/>
    <w:rsid w:val="46864313"/>
    <w:rsid w:val="468C15DE"/>
    <w:rsid w:val="468F344C"/>
    <w:rsid w:val="46C0713D"/>
    <w:rsid w:val="46CE17A4"/>
    <w:rsid w:val="472D3683"/>
    <w:rsid w:val="473B416A"/>
    <w:rsid w:val="473B7E9E"/>
    <w:rsid w:val="47453C8F"/>
    <w:rsid w:val="475B3378"/>
    <w:rsid w:val="4766347D"/>
    <w:rsid w:val="478D4609"/>
    <w:rsid w:val="478D6A12"/>
    <w:rsid w:val="47A32AF0"/>
    <w:rsid w:val="47AF032C"/>
    <w:rsid w:val="47BA0CEF"/>
    <w:rsid w:val="47E2248B"/>
    <w:rsid w:val="47EA4D37"/>
    <w:rsid w:val="47EC146A"/>
    <w:rsid w:val="48156D63"/>
    <w:rsid w:val="48246F12"/>
    <w:rsid w:val="48334280"/>
    <w:rsid w:val="48386782"/>
    <w:rsid w:val="48455013"/>
    <w:rsid w:val="484B7369"/>
    <w:rsid w:val="48507D95"/>
    <w:rsid w:val="48811612"/>
    <w:rsid w:val="488818E0"/>
    <w:rsid w:val="48E06989"/>
    <w:rsid w:val="48E92C88"/>
    <w:rsid w:val="48EB1D85"/>
    <w:rsid w:val="48F62F33"/>
    <w:rsid w:val="494C141C"/>
    <w:rsid w:val="4987544D"/>
    <w:rsid w:val="49AE3D92"/>
    <w:rsid w:val="49C55CAD"/>
    <w:rsid w:val="49CA225D"/>
    <w:rsid w:val="4A1203E3"/>
    <w:rsid w:val="4A863FBD"/>
    <w:rsid w:val="4AA927DF"/>
    <w:rsid w:val="4ABD2CBE"/>
    <w:rsid w:val="4AC625AF"/>
    <w:rsid w:val="4ACA49FA"/>
    <w:rsid w:val="4AE8469B"/>
    <w:rsid w:val="4AED30D2"/>
    <w:rsid w:val="4AF05435"/>
    <w:rsid w:val="4AFE1C1B"/>
    <w:rsid w:val="4B503DE9"/>
    <w:rsid w:val="4B592E57"/>
    <w:rsid w:val="4B680FF9"/>
    <w:rsid w:val="4B731311"/>
    <w:rsid w:val="4B9A2375"/>
    <w:rsid w:val="4C1F7A5B"/>
    <w:rsid w:val="4C9A5F96"/>
    <w:rsid w:val="4C9B7DE3"/>
    <w:rsid w:val="4CA178A3"/>
    <w:rsid w:val="4CB3138C"/>
    <w:rsid w:val="4CBE1543"/>
    <w:rsid w:val="4CBE4760"/>
    <w:rsid w:val="4CCC2062"/>
    <w:rsid w:val="4CF86DA4"/>
    <w:rsid w:val="4D020DA5"/>
    <w:rsid w:val="4D0D52CB"/>
    <w:rsid w:val="4D205724"/>
    <w:rsid w:val="4D566C49"/>
    <w:rsid w:val="4D6037A5"/>
    <w:rsid w:val="4D743AA4"/>
    <w:rsid w:val="4D993267"/>
    <w:rsid w:val="4DA1355F"/>
    <w:rsid w:val="4DA65DA4"/>
    <w:rsid w:val="4DC67D4F"/>
    <w:rsid w:val="4DF67531"/>
    <w:rsid w:val="4E066E93"/>
    <w:rsid w:val="4E1D7E77"/>
    <w:rsid w:val="4E236A05"/>
    <w:rsid w:val="4E51451A"/>
    <w:rsid w:val="4EAC6004"/>
    <w:rsid w:val="4EB73142"/>
    <w:rsid w:val="4EF614BA"/>
    <w:rsid w:val="4EF62402"/>
    <w:rsid w:val="4F35630A"/>
    <w:rsid w:val="4F362E18"/>
    <w:rsid w:val="4F540B41"/>
    <w:rsid w:val="4F547EAA"/>
    <w:rsid w:val="4F832885"/>
    <w:rsid w:val="4F9039FE"/>
    <w:rsid w:val="4FAD22FB"/>
    <w:rsid w:val="50060758"/>
    <w:rsid w:val="50211945"/>
    <w:rsid w:val="50437224"/>
    <w:rsid w:val="50490678"/>
    <w:rsid w:val="505A512C"/>
    <w:rsid w:val="508C2E3F"/>
    <w:rsid w:val="5098572F"/>
    <w:rsid w:val="50F018D3"/>
    <w:rsid w:val="50F47A17"/>
    <w:rsid w:val="510E23F0"/>
    <w:rsid w:val="513D38A6"/>
    <w:rsid w:val="51456AF4"/>
    <w:rsid w:val="515C1DCC"/>
    <w:rsid w:val="51790E28"/>
    <w:rsid w:val="519B6609"/>
    <w:rsid w:val="51BE6CEC"/>
    <w:rsid w:val="51C26588"/>
    <w:rsid w:val="51DE4114"/>
    <w:rsid w:val="51F17472"/>
    <w:rsid w:val="51F45C0D"/>
    <w:rsid w:val="51F45EC8"/>
    <w:rsid w:val="51FE2E2D"/>
    <w:rsid w:val="520F2ED4"/>
    <w:rsid w:val="521402BD"/>
    <w:rsid w:val="522B39FB"/>
    <w:rsid w:val="52414E5C"/>
    <w:rsid w:val="52463FBA"/>
    <w:rsid w:val="524A5D65"/>
    <w:rsid w:val="524C1BBF"/>
    <w:rsid w:val="52677477"/>
    <w:rsid w:val="529526FC"/>
    <w:rsid w:val="52A17AC6"/>
    <w:rsid w:val="52C04D72"/>
    <w:rsid w:val="52CA35B0"/>
    <w:rsid w:val="52DD15C5"/>
    <w:rsid w:val="5305373F"/>
    <w:rsid w:val="53131C59"/>
    <w:rsid w:val="53345BA9"/>
    <w:rsid w:val="53396085"/>
    <w:rsid w:val="53670639"/>
    <w:rsid w:val="53B84C8E"/>
    <w:rsid w:val="53E14409"/>
    <w:rsid w:val="53F52A77"/>
    <w:rsid w:val="5414272D"/>
    <w:rsid w:val="542045EB"/>
    <w:rsid w:val="545B2619"/>
    <w:rsid w:val="54871B54"/>
    <w:rsid w:val="549F3EDE"/>
    <w:rsid w:val="54AA3CD9"/>
    <w:rsid w:val="54B76615"/>
    <w:rsid w:val="54EA3219"/>
    <w:rsid w:val="550118A5"/>
    <w:rsid w:val="557A16A0"/>
    <w:rsid w:val="559A22C4"/>
    <w:rsid w:val="559F228F"/>
    <w:rsid w:val="55B54251"/>
    <w:rsid w:val="55E8090D"/>
    <w:rsid w:val="56051163"/>
    <w:rsid w:val="562A1609"/>
    <w:rsid w:val="563F74A4"/>
    <w:rsid w:val="566B53D2"/>
    <w:rsid w:val="5672794D"/>
    <w:rsid w:val="567B1141"/>
    <w:rsid w:val="569A3398"/>
    <w:rsid w:val="56DD0997"/>
    <w:rsid w:val="56EB3361"/>
    <w:rsid w:val="56F40954"/>
    <w:rsid w:val="56F72F30"/>
    <w:rsid w:val="570D256E"/>
    <w:rsid w:val="57301450"/>
    <w:rsid w:val="5753468B"/>
    <w:rsid w:val="575B3101"/>
    <w:rsid w:val="5760479D"/>
    <w:rsid w:val="576D43D6"/>
    <w:rsid w:val="5779650A"/>
    <w:rsid w:val="57F25C54"/>
    <w:rsid w:val="58037259"/>
    <w:rsid w:val="58164A86"/>
    <w:rsid w:val="58603614"/>
    <w:rsid w:val="58615E6E"/>
    <w:rsid w:val="58635793"/>
    <w:rsid w:val="588C11D6"/>
    <w:rsid w:val="58AD17D7"/>
    <w:rsid w:val="58EF47AD"/>
    <w:rsid w:val="59033141"/>
    <w:rsid w:val="59491402"/>
    <w:rsid w:val="595C25C6"/>
    <w:rsid w:val="595F13E9"/>
    <w:rsid w:val="59785D4E"/>
    <w:rsid w:val="597E2527"/>
    <w:rsid w:val="599D32C2"/>
    <w:rsid w:val="59A84CD5"/>
    <w:rsid w:val="59C26AAC"/>
    <w:rsid w:val="59CA0DF6"/>
    <w:rsid w:val="59E12D2E"/>
    <w:rsid w:val="59E56E97"/>
    <w:rsid w:val="59EE0B0E"/>
    <w:rsid w:val="5A1B27B8"/>
    <w:rsid w:val="5A41505E"/>
    <w:rsid w:val="5A60385B"/>
    <w:rsid w:val="5AC608F3"/>
    <w:rsid w:val="5ACA2411"/>
    <w:rsid w:val="5AE31485"/>
    <w:rsid w:val="5AF626D8"/>
    <w:rsid w:val="5AF62900"/>
    <w:rsid w:val="5AFC40F3"/>
    <w:rsid w:val="5B0D46E9"/>
    <w:rsid w:val="5B143AA9"/>
    <w:rsid w:val="5B22062D"/>
    <w:rsid w:val="5B2B355B"/>
    <w:rsid w:val="5B3E3090"/>
    <w:rsid w:val="5B46617E"/>
    <w:rsid w:val="5B736DFC"/>
    <w:rsid w:val="5B74248A"/>
    <w:rsid w:val="5B7C3A7D"/>
    <w:rsid w:val="5B8675CA"/>
    <w:rsid w:val="5BA652CD"/>
    <w:rsid w:val="5BA85902"/>
    <w:rsid w:val="5BDA1A02"/>
    <w:rsid w:val="5BDA3815"/>
    <w:rsid w:val="5C100E26"/>
    <w:rsid w:val="5C4C3CC9"/>
    <w:rsid w:val="5C505E7D"/>
    <w:rsid w:val="5C5C59BB"/>
    <w:rsid w:val="5C6A1E8C"/>
    <w:rsid w:val="5C6F3AA2"/>
    <w:rsid w:val="5C85298F"/>
    <w:rsid w:val="5CF169E5"/>
    <w:rsid w:val="5CF20C05"/>
    <w:rsid w:val="5CF617C9"/>
    <w:rsid w:val="5D047EE8"/>
    <w:rsid w:val="5D126228"/>
    <w:rsid w:val="5D1949C1"/>
    <w:rsid w:val="5D1F3C0E"/>
    <w:rsid w:val="5D3A42DC"/>
    <w:rsid w:val="5D4E05C8"/>
    <w:rsid w:val="5D544536"/>
    <w:rsid w:val="5DCE771F"/>
    <w:rsid w:val="5DD3556C"/>
    <w:rsid w:val="5DEC3B70"/>
    <w:rsid w:val="5DF84369"/>
    <w:rsid w:val="5DF92DCB"/>
    <w:rsid w:val="5E245A90"/>
    <w:rsid w:val="5E280CB5"/>
    <w:rsid w:val="5E447267"/>
    <w:rsid w:val="5E4A572D"/>
    <w:rsid w:val="5E5667A6"/>
    <w:rsid w:val="5E676802"/>
    <w:rsid w:val="5E6C7C78"/>
    <w:rsid w:val="5E815CED"/>
    <w:rsid w:val="5E887A26"/>
    <w:rsid w:val="5EC56393"/>
    <w:rsid w:val="5EFE34A1"/>
    <w:rsid w:val="5F173FD8"/>
    <w:rsid w:val="5F3A1A66"/>
    <w:rsid w:val="5F6E2815"/>
    <w:rsid w:val="5F7C06D8"/>
    <w:rsid w:val="5FBF5E48"/>
    <w:rsid w:val="5FD9462B"/>
    <w:rsid w:val="5FFB6305"/>
    <w:rsid w:val="60011320"/>
    <w:rsid w:val="6057025C"/>
    <w:rsid w:val="606F133D"/>
    <w:rsid w:val="60916901"/>
    <w:rsid w:val="60993336"/>
    <w:rsid w:val="60A27DAC"/>
    <w:rsid w:val="60B91733"/>
    <w:rsid w:val="60DF4CB3"/>
    <w:rsid w:val="610B115D"/>
    <w:rsid w:val="612650A2"/>
    <w:rsid w:val="61275225"/>
    <w:rsid w:val="614041D7"/>
    <w:rsid w:val="614A7B30"/>
    <w:rsid w:val="615F2C14"/>
    <w:rsid w:val="616C655B"/>
    <w:rsid w:val="616E381D"/>
    <w:rsid w:val="617A2999"/>
    <w:rsid w:val="61992EFA"/>
    <w:rsid w:val="61A21ED5"/>
    <w:rsid w:val="61BA5EFD"/>
    <w:rsid w:val="61C7660C"/>
    <w:rsid w:val="61D81BE2"/>
    <w:rsid w:val="61E93AD6"/>
    <w:rsid w:val="620100B1"/>
    <w:rsid w:val="62190F45"/>
    <w:rsid w:val="62193B80"/>
    <w:rsid w:val="621B4181"/>
    <w:rsid w:val="62353B47"/>
    <w:rsid w:val="624076D6"/>
    <w:rsid w:val="628057BB"/>
    <w:rsid w:val="628C53F9"/>
    <w:rsid w:val="62A20B07"/>
    <w:rsid w:val="62A414E0"/>
    <w:rsid w:val="62CC77CB"/>
    <w:rsid w:val="62F3784F"/>
    <w:rsid w:val="62FF3FB5"/>
    <w:rsid w:val="63021DE2"/>
    <w:rsid w:val="63112339"/>
    <w:rsid w:val="63875F97"/>
    <w:rsid w:val="6394227F"/>
    <w:rsid w:val="63AA5332"/>
    <w:rsid w:val="63C61233"/>
    <w:rsid w:val="63FF6AFB"/>
    <w:rsid w:val="640E4A78"/>
    <w:rsid w:val="642A2A58"/>
    <w:rsid w:val="64391A57"/>
    <w:rsid w:val="64585109"/>
    <w:rsid w:val="645F7031"/>
    <w:rsid w:val="64881679"/>
    <w:rsid w:val="649F7EFD"/>
    <w:rsid w:val="64B55A95"/>
    <w:rsid w:val="64B64B66"/>
    <w:rsid w:val="64B86E2A"/>
    <w:rsid w:val="64C12A40"/>
    <w:rsid w:val="64C15487"/>
    <w:rsid w:val="64C51685"/>
    <w:rsid w:val="65137300"/>
    <w:rsid w:val="6526740F"/>
    <w:rsid w:val="652C3E17"/>
    <w:rsid w:val="6556674F"/>
    <w:rsid w:val="655F2B6C"/>
    <w:rsid w:val="656032D9"/>
    <w:rsid w:val="65862CD9"/>
    <w:rsid w:val="6588686F"/>
    <w:rsid w:val="659E46D8"/>
    <w:rsid w:val="65A57048"/>
    <w:rsid w:val="65B50E5A"/>
    <w:rsid w:val="65D54781"/>
    <w:rsid w:val="65D923B7"/>
    <w:rsid w:val="660867AF"/>
    <w:rsid w:val="662D27C6"/>
    <w:rsid w:val="66452FE9"/>
    <w:rsid w:val="668D7DF1"/>
    <w:rsid w:val="66D60DB1"/>
    <w:rsid w:val="66E561D8"/>
    <w:rsid w:val="66F00AF0"/>
    <w:rsid w:val="6700750E"/>
    <w:rsid w:val="67580868"/>
    <w:rsid w:val="67610EFA"/>
    <w:rsid w:val="678D5B85"/>
    <w:rsid w:val="67995A29"/>
    <w:rsid w:val="679F4BEC"/>
    <w:rsid w:val="67DC482A"/>
    <w:rsid w:val="67E55620"/>
    <w:rsid w:val="67EA5494"/>
    <w:rsid w:val="67ED1ADF"/>
    <w:rsid w:val="68091997"/>
    <w:rsid w:val="6815717B"/>
    <w:rsid w:val="681B7F08"/>
    <w:rsid w:val="6822487B"/>
    <w:rsid w:val="68347A35"/>
    <w:rsid w:val="684D6D87"/>
    <w:rsid w:val="68525B9B"/>
    <w:rsid w:val="688432AD"/>
    <w:rsid w:val="6886482A"/>
    <w:rsid w:val="688E57BC"/>
    <w:rsid w:val="68904BFB"/>
    <w:rsid w:val="689958EB"/>
    <w:rsid w:val="68A0499E"/>
    <w:rsid w:val="68AE3670"/>
    <w:rsid w:val="68C332BA"/>
    <w:rsid w:val="68C708F2"/>
    <w:rsid w:val="68D56251"/>
    <w:rsid w:val="68EF5946"/>
    <w:rsid w:val="68FF6567"/>
    <w:rsid w:val="693118AD"/>
    <w:rsid w:val="69603C4B"/>
    <w:rsid w:val="69614422"/>
    <w:rsid w:val="69683F1C"/>
    <w:rsid w:val="698C169F"/>
    <w:rsid w:val="69930E11"/>
    <w:rsid w:val="6997611C"/>
    <w:rsid w:val="699C0EF8"/>
    <w:rsid w:val="69AB5DBB"/>
    <w:rsid w:val="69B840F1"/>
    <w:rsid w:val="69C0217A"/>
    <w:rsid w:val="69C91948"/>
    <w:rsid w:val="69F61FB9"/>
    <w:rsid w:val="6A2826A1"/>
    <w:rsid w:val="6A51315C"/>
    <w:rsid w:val="6A551347"/>
    <w:rsid w:val="6A5D1911"/>
    <w:rsid w:val="6A5F02FA"/>
    <w:rsid w:val="6A9F3407"/>
    <w:rsid w:val="6AA45AEE"/>
    <w:rsid w:val="6AAA05A9"/>
    <w:rsid w:val="6AE60B4C"/>
    <w:rsid w:val="6AF012D3"/>
    <w:rsid w:val="6B3529D0"/>
    <w:rsid w:val="6B3C6A10"/>
    <w:rsid w:val="6B5B3158"/>
    <w:rsid w:val="6B726A7C"/>
    <w:rsid w:val="6B8902B7"/>
    <w:rsid w:val="6BBA5C26"/>
    <w:rsid w:val="6BE963BE"/>
    <w:rsid w:val="6C09199A"/>
    <w:rsid w:val="6C0F365E"/>
    <w:rsid w:val="6C2E2CA9"/>
    <w:rsid w:val="6C3E3641"/>
    <w:rsid w:val="6C740601"/>
    <w:rsid w:val="6CD31F6B"/>
    <w:rsid w:val="6CE25A08"/>
    <w:rsid w:val="6D380537"/>
    <w:rsid w:val="6D616216"/>
    <w:rsid w:val="6D835FC8"/>
    <w:rsid w:val="6D932C97"/>
    <w:rsid w:val="6DA0648F"/>
    <w:rsid w:val="6DA225C5"/>
    <w:rsid w:val="6DB630F7"/>
    <w:rsid w:val="6E04099A"/>
    <w:rsid w:val="6E0E61FC"/>
    <w:rsid w:val="6E3101C1"/>
    <w:rsid w:val="6E451A64"/>
    <w:rsid w:val="6E67698D"/>
    <w:rsid w:val="6E6839F7"/>
    <w:rsid w:val="6E6F19E4"/>
    <w:rsid w:val="6E733F82"/>
    <w:rsid w:val="6E874489"/>
    <w:rsid w:val="6EA0744D"/>
    <w:rsid w:val="6EA3291D"/>
    <w:rsid w:val="6EA67504"/>
    <w:rsid w:val="6EB17B25"/>
    <w:rsid w:val="6EDD75A0"/>
    <w:rsid w:val="6F0D2298"/>
    <w:rsid w:val="6F4B77AB"/>
    <w:rsid w:val="6F5A407F"/>
    <w:rsid w:val="6F9045BD"/>
    <w:rsid w:val="6F991282"/>
    <w:rsid w:val="6FAD4095"/>
    <w:rsid w:val="6FD071A2"/>
    <w:rsid w:val="6FD57D31"/>
    <w:rsid w:val="6FD969D9"/>
    <w:rsid w:val="6FDF42CC"/>
    <w:rsid w:val="6FE2164C"/>
    <w:rsid w:val="700A32D4"/>
    <w:rsid w:val="70512274"/>
    <w:rsid w:val="7071512F"/>
    <w:rsid w:val="70836044"/>
    <w:rsid w:val="70963635"/>
    <w:rsid w:val="709E757C"/>
    <w:rsid w:val="70AB6982"/>
    <w:rsid w:val="70B960E4"/>
    <w:rsid w:val="70CE2945"/>
    <w:rsid w:val="70D571F9"/>
    <w:rsid w:val="710003A8"/>
    <w:rsid w:val="710F0BB8"/>
    <w:rsid w:val="71194261"/>
    <w:rsid w:val="711C5BB5"/>
    <w:rsid w:val="712D71C5"/>
    <w:rsid w:val="7144689C"/>
    <w:rsid w:val="717E5F2F"/>
    <w:rsid w:val="718B15C7"/>
    <w:rsid w:val="718B3A21"/>
    <w:rsid w:val="71B2274D"/>
    <w:rsid w:val="71BF4E45"/>
    <w:rsid w:val="71C20258"/>
    <w:rsid w:val="71CC7EBE"/>
    <w:rsid w:val="71D20555"/>
    <w:rsid w:val="71DA77B8"/>
    <w:rsid w:val="72355C90"/>
    <w:rsid w:val="72370EF3"/>
    <w:rsid w:val="723E1C2C"/>
    <w:rsid w:val="724A0B59"/>
    <w:rsid w:val="724B3C7A"/>
    <w:rsid w:val="72522107"/>
    <w:rsid w:val="7258227F"/>
    <w:rsid w:val="72725AF0"/>
    <w:rsid w:val="727E25B6"/>
    <w:rsid w:val="72A264DB"/>
    <w:rsid w:val="72B851F7"/>
    <w:rsid w:val="72BD48D1"/>
    <w:rsid w:val="72C65D78"/>
    <w:rsid w:val="72D7336E"/>
    <w:rsid w:val="72FD0906"/>
    <w:rsid w:val="73174731"/>
    <w:rsid w:val="73795D74"/>
    <w:rsid w:val="739509FA"/>
    <w:rsid w:val="73A80755"/>
    <w:rsid w:val="73C4164C"/>
    <w:rsid w:val="73CC653A"/>
    <w:rsid w:val="73D159A1"/>
    <w:rsid w:val="73F35C20"/>
    <w:rsid w:val="73F8462A"/>
    <w:rsid w:val="741D2D43"/>
    <w:rsid w:val="74227141"/>
    <w:rsid w:val="745F4062"/>
    <w:rsid w:val="74DF558B"/>
    <w:rsid w:val="74E67F4E"/>
    <w:rsid w:val="74EE1D1B"/>
    <w:rsid w:val="74F826B3"/>
    <w:rsid w:val="75067D82"/>
    <w:rsid w:val="75152359"/>
    <w:rsid w:val="752955C7"/>
    <w:rsid w:val="75473AB6"/>
    <w:rsid w:val="755A639D"/>
    <w:rsid w:val="75612341"/>
    <w:rsid w:val="75CA48E7"/>
    <w:rsid w:val="75F60130"/>
    <w:rsid w:val="765629A7"/>
    <w:rsid w:val="76752691"/>
    <w:rsid w:val="76924971"/>
    <w:rsid w:val="76933E2E"/>
    <w:rsid w:val="76A27B4C"/>
    <w:rsid w:val="76B918A6"/>
    <w:rsid w:val="76BC587C"/>
    <w:rsid w:val="76BF7808"/>
    <w:rsid w:val="76C00AFC"/>
    <w:rsid w:val="76ED1347"/>
    <w:rsid w:val="76F433E8"/>
    <w:rsid w:val="771946D8"/>
    <w:rsid w:val="772268FD"/>
    <w:rsid w:val="77474684"/>
    <w:rsid w:val="775666E2"/>
    <w:rsid w:val="77730FF8"/>
    <w:rsid w:val="778B056F"/>
    <w:rsid w:val="77941310"/>
    <w:rsid w:val="77A82770"/>
    <w:rsid w:val="77BD7E72"/>
    <w:rsid w:val="77ED0386"/>
    <w:rsid w:val="77F211D8"/>
    <w:rsid w:val="77F4689D"/>
    <w:rsid w:val="77F72469"/>
    <w:rsid w:val="78366B8C"/>
    <w:rsid w:val="783B287A"/>
    <w:rsid w:val="78482C69"/>
    <w:rsid w:val="78B43B82"/>
    <w:rsid w:val="78BB76EA"/>
    <w:rsid w:val="78FB1BD1"/>
    <w:rsid w:val="79213328"/>
    <w:rsid w:val="7964511F"/>
    <w:rsid w:val="799E7491"/>
    <w:rsid w:val="799F3F47"/>
    <w:rsid w:val="79A72484"/>
    <w:rsid w:val="79BA471D"/>
    <w:rsid w:val="79DF005F"/>
    <w:rsid w:val="7A114E8A"/>
    <w:rsid w:val="7A1C5B1C"/>
    <w:rsid w:val="7A4653BA"/>
    <w:rsid w:val="7A765EEC"/>
    <w:rsid w:val="7A790CA9"/>
    <w:rsid w:val="7AAD04BC"/>
    <w:rsid w:val="7AB83F1D"/>
    <w:rsid w:val="7ACA2786"/>
    <w:rsid w:val="7ACF5519"/>
    <w:rsid w:val="7AD234FC"/>
    <w:rsid w:val="7ADD6282"/>
    <w:rsid w:val="7AE2061C"/>
    <w:rsid w:val="7B002131"/>
    <w:rsid w:val="7B0864F6"/>
    <w:rsid w:val="7B1B16D3"/>
    <w:rsid w:val="7B2E6780"/>
    <w:rsid w:val="7B453576"/>
    <w:rsid w:val="7B5D217A"/>
    <w:rsid w:val="7B614801"/>
    <w:rsid w:val="7B684A54"/>
    <w:rsid w:val="7B913B86"/>
    <w:rsid w:val="7B97422A"/>
    <w:rsid w:val="7BA969F0"/>
    <w:rsid w:val="7BB31B68"/>
    <w:rsid w:val="7C194469"/>
    <w:rsid w:val="7C1A6CD5"/>
    <w:rsid w:val="7C2630F4"/>
    <w:rsid w:val="7C45471C"/>
    <w:rsid w:val="7C7F3629"/>
    <w:rsid w:val="7C8B7A6D"/>
    <w:rsid w:val="7C90110D"/>
    <w:rsid w:val="7C9B6AF6"/>
    <w:rsid w:val="7CA34622"/>
    <w:rsid w:val="7D2F6FF7"/>
    <w:rsid w:val="7D303FCF"/>
    <w:rsid w:val="7D332F6D"/>
    <w:rsid w:val="7D3D587B"/>
    <w:rsid w:val="7D4435DF"/>
    <w:rsid w:val="7D49035B"/>
    <w:rsid w:val="7D4D0E2F"/>
    <w:rsid w:val="7D5A11F6"/>
    <w:rsid w:val="7D6E6D2F"/>
    <w:rsid w:val="7DB618F1"/>
    <w:rsid w:val="7DB838C8"/>
    <w:rsid w:val="7DC23C3E"/>
    <w:rsid w:val="7DCA5633"/>
    <w:rsid w:val="7DF46E1B"/>
    <w:rsid w:val="7E0464CE"/>
    <w:rsid w:val="7E202324"/>
    <w:rsid w:val="7E2C2660"/>
    <w:rsid w:val="7E476D34"/>
    <w:rsid w:val="7E6D6DAE"/>
    <w:rsid w:val="7EA32AD0"/>
    <w:rsid w:val="7ED953E3"/>
    <w:rsid w:val="7EF765D0"/>
    <w:rsid w:val="7EF87C96"/>
    <w:rsid w:val="7F301B1E"/>
    <w:rsid w:val="7F375D0A"/>
    <w:rsid w:val="7F500CBA"/>
    <w:rsid w:val="7F587DE1"/>
    <w:rsid w:val="7F820D78"/>
    <w:rsid w:val="7F935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qFormat="1" w:unhideWhenUsed="0" w:uiPriority="34"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120" w:line="300" w:lineRule="auto"/>
      <w:jc w:val="both"/>
    </w:pPr>
    <w:rPr>
      <w:rFonts w:ascii="Times New Roman" w:hAnsi="Times New Roman" w:eastAsia="宋体" w:cs="Times New Roman"/>
      <w:lang w:val="en-US" w:eastAsia="zh-CN" w:bidi="ar-SA"/>
    </w:rPr>
  </w:style>
  <w:style w:type="paragraph" w:styleId="2">
    <w:name w:val="heading 1"/>
    <w:basedOn w:val="1"/>
    <w:next w:val="1"/>
    <w:link w:val="49"/>
    <w:qFormat/>
    <w:uiPriority w:val="99"/>
    <w:pPr>
      <w:widowControl w:val="0"/>
      <w:numPr>
        <w:ilvl w:val="0"/>
        <w:numId w:val="1"/>
      </w:numPr>
      <w:autoSpaceDE w:val="0"/>
      <w:autoSpaceDN w:val="0"/>
      <w:adjustRightInd w:val="0"/>
      <w:outlineLvl w:val="0"/>
    </w:pPr>
    <w:rPr>
      <w:rFonts w:ascii="Arial" w:hAnsi="Arial" w:eastAsia="黑体"/>
      <w:b/>
      <w:bCs/>
      <w:sz w:val="30"/>
      <w:szCs w:val="30"/>
      <w:lang w:val="zh-CN"/>
    </w:rPr>
  </w:style>
  <w:style w:type="paragraph" w:styleId="3">
    <w:name w:val="heading 2"/>
    <w:basedOn w:val="1"/>
    <w:next w:val="1"/>
    <w:link w:val="48"/>
    <w:qFormat/>
    <w:uiPriority w:val="0"/>
    <w:pPr>
      <w:keepNext/>
      <w:keepLines/>
      <w:spacing w:before="260" w:after="260" w:line="413" w:lineRule="auto"/>
      <w:outlineLvl w:val="1"/>
    </w:pPr>
    <w:rPr>
      <w:rFonts w:ascii="Arial" w:hAnsi="Arial" w:eastAsia="黑体"/>
      <w:b/>
      <w:sz w:val="32"/>
    </w:rPr>
  </w:style>
  <w:style w:type="paragraph" w:styleId="4">
    <w:name w:val="heading 3"/>
    <w:basedOn w:val="1"/>
    <w:next w:val="1"/>
    <w:link w:val="56"/>
    <w:qFormat/>
    <w:uiPriority w:val="9"/>
    <w:pPr>
      <w:keepNext/>
      <w:keepLines/>
      <w:numPr>
        <w:ilvl w:val="2"/>
        <w:numId w:val="1"/>
      </w:numPr>
      <w:tabs>
        <w:tab w:val="left" w:pos="432"/>
      </w:tabs>
      <w:spacing w:before="260" w:after="260" w:line="416" w:lineRule="auto"/>
      <w:outlineLvl w:val="2"/>
    </w:pPr>
    <w:rPr>
      <w:b/>
      <w:bCs/>
      <w:sz w:val="32"/>
      <w:szCs w:val="32"/>
    </w:rPr>
  </w:style>
  <w:style w:type="paragraph" w:styleId="5">
    <w:name w:val="heading 4"/>
    <w:basedOn w:val="1"/>
    <w:next w:val="1"/>
    <w:qFormat/>
    <w:uiPriority w:val="0"/>
    <w:pPr>
      <w:ind w:left="1418" w:hanging="1418"/>
      <w:outlineLvl w:val="3"/>
    </w:pPr>
    <w:rPr>
      <w:sz w:val="24"/>
    </w:rPr>
  </w:style>
  <w:style w:type="paragraph" w:styleId="6">
    <w:name w:val="heading 5"/>
    <w:basedOn w:val="1"/>
    <w:next w:val="1"/>
    <w:qFormat/>
    <w:uiPriority w:val="0"/>
    <w:pPr>
      <w:outlineLvl w:val="4"/>
    </w:pPr>
    <w:rPr>
      <w:rFonts w:hint="eastAsia" w:ascii="宋体" w:hAnsi="宋体"/>
      <w:b/>
      <w:color w:val="666666"/>
    </w:rPr>
  </w:style>
  <w:style w:type="paragraph" w:styleId="7">
    <w:name w:val="heading 6"/>
    <w:basedOn w:val="1"/>
    <w:next w:val="1"/>
    <w:link w:val="57"/>
    <w:qFormat/>
    <w:uiPriority w:val="9"/>
    <w:pPr>
      <w:keepNext/>
      <w:keepLines/>
      <w:spacing w:before="240" w:after="64" w:line="317" w:lineRule="auto"/>
      <w:ind w:left="1151" w:hanging="1151"/>
      <w:outlineLvl w:val="5"/>
    </w:pPr>
    <w:rPr>
      <w:rFonts w:ascii="Arial" w:hAnsi="Arial" w:eastAsia="黑体"/>
      <w:b/>
      <w:sz w:val="24"/>
    </w:rPr>
  </w:style>
  <w:style w:type="paragraph" w:styleId="8">
    <w:name w:val="heading 7"/>
    <w:basedOn w:val="1"/>
    <w:next w:val="1"/>
    <w:link w:val="55"/>
    <w:qFormat/>
    <w:uiPriority w:val="9"/>
    <w:pPr>
      <w:keepNext/>
      <w:keepLines/>
      <w:spacing w:before="240" w:after="64" w:line="317" w:lineRule="auto"/>
      <w:ind w:left="1296" w:hanging="1296"/>
      <w:outlineLvl w:val="6"/>
    </w:pPr>
    <w:rPr>
      <w:rFonts w:ascii="Calibri" w:hAnsi="Calibri"/>
      <w:b/>
      <w:sz w:val="24"/>
    </w:rPr>
  </w:style>
  <w:style w:type="paragraph" w:styleId="9">
    <w:name w:val="heading 8"/>
    <w:basedOn w:val="1"/>
    <w:next w:val="1"/>
    <w:link w:val="70"/>
    <w:qFormat/>
    <w:uiPriority w:val="9"/>
    <w:pPr>
      <w:keepNext/>
      <w:keepLines/>
      <w:spacing w:before="240" w:after="64" w:line="317" w:lineRule="auto"/>
      <w:ind w:left="1440" w:hanging="1440"/>
      <w:outlineLvl w:val="7"/>
    </w:pPr>
    <w:rPr>
      <w:rFonts w:ascii="Arial" w:hAnsi="Arial" w:eastAsia="黑体"/>
      <w:sz w:val="24"/>
    </w:rPr>
  </w:style>
  <w:style w:type="paragraph" w:styleId="10">
    <w:name w:val="heading 9"/>
    <w:basedOn w:val="1"/>
    <w:next w:val="1"/>
    <w:link w:val="39"/>
    <w:qFormat/>
    <w:uiPriority w:val="9"/>
    <w:pPr>
      <w:keepNext/>
      <w:keepLines/>
      <w:spacing w:before="240" w:after="64" w:line="317" w:lineRule="auto"/>
      <w:ind w:left="1583" w:hanging="1583"/>
      <w:outlineLvl w:val="8"/>
    </w:pPr>
    <w:rPr>
      <w:rFonts w:ascii="Arial" w:hAnsi="Arial" w:eastAsia="黑体"/>
      <w:sz w:val="21"/>
    </w:rPr>
  </w:style>
  <w:style w:type="character" w:default="1" w:styleId="26">
    <w:name w:val="Default Paragraph Font"/>
    <w:semiHidden/>
    <w:unhideWhenUsed/>
    <w:uiPriority w:val="1"/>
  </w:style>
  <w:style w:type="table" w:default="1" w:styleId="23">
    <w:name w:val="Normal Table"/>
    <w:semiHidden/>
    <w:unhideWhenUsed/>
    <w:uiPriority w:val="99"/>
    <w:tblPr>
      <w:tblCellMar>
        <w:top w:w="0" w:type="dxa"/>
        <w:left w:w="108" w:type="dxa"/>
        <w:bottom w:w="0" w:type="dxa"/>
        <w:right w:w="108" w:type="dxa"/>
      </w:tblCellMar>
    </w:tblPr>
  </w:style>
  <w:style w:type="paragraph" w:styleId="11">
    <w:name w:val="Normal Indent"/>
    <w:basedOn w:val="1"/>
    <w:qFormat/>
    <w:uiPriority w:val="0"/>
    <w:pPr>
      <w:widowControl w:val="0"/>
      <w:ind w:firstLine="420"/>
    </w:pPr>
    <w:rPr>
      <w:kern w:val="2"/>
      <w:sz w:val="21"/>
    </w:rPr>
  </w:style>
  <w:style w:type="paragraph" w:styleId="12">
    <w:name w:val="caption"/>
    <w:basedOn w:val="1"/>
    <w:next w:val="1"/>
    <w:link w:val="66"/>
    <w:qFormat/>
    <w:uiPriority w:val="0"/>
    <w:pPr>
      <w:tabs>
        <w:tab w:val="left" w:pos="1418"/>
      </w:tabs>
      <w:spacing w:before="120"/>
    </w:pPr>
    <w:rPr>
      <w:b/>
      <w:bCs/>
      <w:lang w:val="en-GB" w:eastAsia="sv-SE"/>
    </w:rPr>
  </w:style>
  <w:style w:type="paragraph" w:styleId="13">
    <w:name w:val="Document Map"/>
    <w:basedOn w:val="1"/>
    <w:link w:val="61"/>
    <w:unhideWhenUsed/>
    <w:qFormat/>
    <w:uiPriority w:val="99"/>
    <w:rPr>
      <w:rFonts w:ascii="宋体"/>
      <w:sz w:val="18"/>
      <w:szCs w:val="18"/>
    </w:rPr>
  </w:style>
  <w:style w:type="paragraph" w:styleId="14">
    <w:name w:val="annotation text"/>
    <w:basedOn w:val="1"/>
    <w:link w:val="71"/>
    <w:unhideWhenUsed/>
    <w:qFormat/>
    <w:uiPriority w:val="0"/>
  </w:style>
  <w:style w:type="paragraph" w:styleId="15">
    <w:name w:val="Body Text"/>
    <w:basedOn w:val="1"/>
    <w:link w:val="76"/>
    <w:qFormat/>
    <w:uiPriority w:val="0"/>
    <w:pPr>
      <w:widowControl w:val="0"/>
    </w:pPr>
    <w:rPr>
      <w:color w:val="0000FF"/>
      <w:kern w:val="2"/>
      <w:sz w:val="21"/>
    </w:rPr>
  </w:style>
  <w:style w:type="paragraph" w:styleId="16">
    <w:name w:val="Balloon Text"/>
    <w:basedOn w:val="1"/>
    <w:link w:val="46"/>
    <w:unhideWhenUsed/>
    <w:qFormat/>
    <w:uiPriority w:val="99"/>
    <w:rPr>
      <w:rFonts w:ascii="Tahoma" w:hAnsi="Tahoma"/>
      <w:sz w:val="16"/>
      <w:szCs w:val="16"/>
    </w:rPr>
  </w:style>
  <w:style w:type="paragraph" w:styleId="17">
    <w:name w:val="footer"/>
    <w:basedOn w:val="1"/>
    <w:qFormat/>
    <w:uiPriority w:val="0"/>
    <w:pPr>
      <w:tabs>
        <w:tab w:val="center" w:pos="4153"/>
        <w:tab w:val="right" w:pos="8306"/>
      </w:tabs>
      <w:snapToGrid w:val="0"/>
    </w:pPr>
    <w:rPr>
      <w:sz w:val="18"/>
      <w:szCs w:val="18"/>
    </w:rPr>
  </w:style>
  <w:style w:type="paragraph" w:styleId="18">
    <w:name w:val="header"/>
    <w:basedOn w:val="1"/>
    <w:link w:val="79"/>
    <w:qFormat/>
    <w:uiPriority w:val="0"/>
    <w:pPr>
      <w:tabs>
        <w:tab w:val="center" w:pos="4536"/>
        <w:tab w:val="right" w:pos="9072"/>
      </w:tabs>
    </w:pPr>
    <w:rPr>
      <w:rFonts w:ascii="Arial" w:hAnsi="Arial" w:eastAsia="MS Mincho"/>
      <w:b/>
      <w:szCs w:val="24"/>
      <w:lang w:eastAsia="en-US"/>
    </w:rPr>
  </w:style>
  <w:style w:type="paragraph" w:styleId="19">
    <w:name w:val="List"/>
    <w:basedOn w:val="1"/>
    <w:unhideWhenUsed/>
    <w:qFormat/>
    <w:uiPriority w:val="99"/>
    <w:pPr>
      <w:ind w:left="200" w:hanging="200" w:hangingChars="200"/>
      <w:contextualSpacing/>
    </w:pPr>
  </w:style>
  <w:style w:type="paragraph" w:styleId="20">
    <w:name w:val="footnote text"/>
    <w:basedOn w:val="1"/>
    <w:link w:val="78"/>
    <w:semiHidden/>
    <w:qFormat/>
    <w:uiPriority w:val="0"/>
    <w:rPr>
      <w:rFonts w:ascii="Times" w:hAnsi="Times" w:eastAsia="Batang"/>
      <w:lang w:eastAsia="en-US"/>
    </w:rPr>
  </w:style>
  <w:style w:type="paragraph" w:styleId="21">
    <w:name w:val="Normal (Web)"/>
    <w:basedOn w:val="1"/>
    <w:unhideWhenUsed/>
    <w:qFormat/>
    <w:uiPriority w:val="99"/>
    <w:pPr>
      <w:spacing w:before="100" w:beforeAutospacing="1" w:after="100" w:afterAutospacing="1"/>
    </w:pPr>
    <w:rPr>
      <w:rFonts w:ascii="宋体" w:hAnsi="宋体" w:cs="宋体"/>
      <w:sz w:val="24"/>
      <w:szCs w:val="24"/>
    </w:rPr>
  </w:style>
  <w:style w:type="paragraph" w:styleId="22">
    <w:name w:val="annotation subject"/>
    <w:basedOn w:val="14"/>
    <w:next w:val="14"/>
    <w:link w:val="40"/>
    <w:unhideWhenUsed/>
    <w:qFormat/>
    <w:uiPriority w:val="99"/>
    <w:rPr>
      <w:b/>
      <w:bCs/>
    </w:rPr>
  </w:style>
  <w:style w:type="table" w:styleId="24">
    <w:name w:val="Table Grid"/>
    <w:basedOn w:val="2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table" w:styleId="25">
    <w:name w:val="Colorful Shading Accent 3"/>
    <w:basedOn w:val="23"/>
    <w:qFormat/>
    <w:uiPriority w:val="34"/>
    <w:rPr>
      <w:kern w:val="2"/>
      <w:sz w:val="21"/>
      <w:szCs w:val="24"/>
    </w:rPr>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CellMar>
        <w:top w:w="0" w:type="dxa"/>
        <w:left w:w="108" w:type="dxa"/>
        <w:bottom w:w="0" w:type="dxa"/>
        <w:right w:w="108" w:type="dxa"/>
      </w:tblCellMar>
    </w:tblPr>
    <w:tcPr>
      <w:shd w:val="clear" w:color="auto" w:fill="EFD3D2"/>
    </w:tcPr>
    <w:tblStylePr w:type="firstRow">
      <w:rPr>
        <w:b/>
        <w:bCs/>
      </w:rPr>
      <w:tblPr/>
      <w:tcPr>
        <w:tcBorders>
          <w:top w:val="nil"/>
          <w:left w:val="nil"/>
          <w:bottom w:val="single" w:color="8064A2" w:sz="24" w:space="0"/>
          <w:right w:val="nil"/>
          <w:insideH w:val="nil"/>
          <w:insideV w:val="nil"/>
          <w:tl2br w:val="nil"/>
          <w:tr2bl w:val="nil"/>
        </w:tcBorders>
        <w:shd w:val="clear" w:color="auto" w:fill="FFFFFF"/>
      </w:tcPr>
    </w:tblStylePr>
    <w:tblStylePr w:type="lastRow">
      <w:rPr>
        <w:b/>
        <w:bCs/>
      </w:rPr>
      <w:tblPr/>
      <w:tcPr>
        <w:tcBorders>
          <w:top w:val="single" w:color="CF7B79" w:sz="18" w:space="0"/>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character" w:styleId="27">
    <w:name w:val="Strong"/>
    <w:qFormat/>
    <w:uiPriority w:val="22"/>
    <w:rPr>
      <w:b/>
    </w:rPr>
  </w:style>
  <w:style w:type="character" w:styleId="28">
    <w:name w:val="FollowedHyperlink"/>
    <w:unhideWhenUsed/>
    <w:qFormat/>
    <w:uiPriority w:val="99"/>
    <w:rPr>
      <w:color w:val="2779B6"/>
      <w:u w:val="single"/>
    </w:rPr>
  </w:style>
  <w:style w:type="character" w:styleId="29">
    <w:name w:val="Emphasis"/>
    <w:qFormat/>
    <w:uiPriority w:val="20"/>
    <w:rPr>
      <w:i/>
    </w:rPr>
  </w:style>
  <w:style w:type="character" w:styleId="30">
    <w:name w:val="Hyperlink"/>
    <w:unhideWhenUsed/>
    <w:qFormat/>
    <w:uiPriority w:val="99"/>
    <w:rPr>
      <w:color w:val="2779B6"/>
      <w:u w:val="single"/>
    </w:rPr>
  </w:style>
  <w:style w:type="character" w:styleId="31">
    <w:name w:val="annotation reference"/>
    <w:unhideWhenUsed/>
    <w:qFormat/>
    <w:uiPriority w:val="0"/>
    <w:rPr>
      <w:sz w:val="16"/>
      <w:szCs w:val="16"/>
    </w:rPr>
  </w:style>
  <w:style w:type="character" w:styleId="32">
    <w:name w:val="footnote reference"/>
    <w:semiHidden/>
    <w:qFormat/>
    <w:uiPriority w:val="0"/>
    <w:rPr>
      <w:b/>
      <w:position w:val="6"/>
      <w:sz w:val="16"/>
    </w:rPr>
  </w:style>
  <w:style w:type="character" w:customStyle="1" w:styleId="33">
    <w:name w:val="def"/>
    <w:basedOn w:val="26"/>
    <w:qFormat/>
    <w:uiPriority w:val="0"/>
  </w:style>
  <w:style w:type="character" w:customStyle="1" w:styleId="34">
    <w:name w:val="Medium Grid 1 - Accent 2 Char"/>
    <w:link w:val="35"/>
    <w:qFormat/>
    <w:uiPriority w:val="34"/>
    <w:rPr>
      <w:sz w:val="22"/>
      <w:szCs w:val="22"/>
    </w:rPr>
  </w:style>
  <w:style w:type="paragraph" w:customStyle="1" w:styleId="35">
    <w:name w:val="Medium Grid 1 - Accent 21"/>
    <w:basedOn w:val="1"/>
    <w:link w:val="34"/>
    <w:qFormat/>
    <w:uiPriority w:val="34"/>
    <w:pPr>
      <w:ind w:firstLine="420" w:firstLineChars="200"/>
    </w:pPr>
  </w:style>
  <w:style w:type="character" w:customStyle="1" w:styleId="36">
    <w:name w:val="main text Char"/>
    <w:link w:val="37"/>
    <w:qFormat/>
    <w:uiPriority w:val="0"/>
    <w:rPr>
      <w:rFonts w:ascii="Times New Roman" w:hAnsi="Times New Roman" w:eastAsia="Malgun Gothic"/>
      <w:lang w:val="en-GB" w:eastAsia="ko-KR"/>
    </w:rPr>
  </w:style>
  <w:style w:type="paragraph" w:customStyle="1" w:styleId="37">
    <w:name w:val="main text"/>
    <w:basedOn w:val="1"/>
    <w:link w:val="36"/>
    <w:qFormat/>
    <w:uiPriority w:val="0"/>
    <w:pPr>
      <w:spacing w:before="60" w:after="60" w:line="288" w:lineRule="auto"/>
      <w:ind w:firstLine="200" w:firstLineChars="200"/>
    </w:pPr>
    <w:rPr>
      <w:rFonts w:eastAsia="Malgun Gothic"/>
      <w:lang w:val="en-GB" w:eastAsia="ko-KR"/>
    </w:rPr>
  </w:style>
  <w:style w:type="character" w:customStyle="1" w:styleId="38">
    <w:name w:val="apple-converted-space"/>
    <w:basedOn w:val="26"/>
    <w:qFormat/>
    <w:uiPriority w:val="0"/>
  </w:style>
  <w:style w:type="character" w:customStyle="1" w:styleId="39">
    <w:name w:val="Heading 9 Char"/>
    <w:link w:val="10"/>
    <w:qFormat/>
    <w:uiPriority w:val="9"/>
    <w:rPr>
      <w:rFonts w:ascii="Arial" w:hAnsi="Arial" w:eastAsia="黑体"/>
      <w:sz w:val="21"/>
      <w:szCs w:val="22"/>
    </w:rPr>
  </w:style>
  <w:style w:type="character" w:customStyle="1" w:styleId="40">
    <w:name w:val="Comment Subject Char"/>
    <w:link w:val="22"/>
    <w:semiHidden/>
    <w:qFormat/>
    <w:uiPriority w:val="99"/>
    <w:rPr>
      <w:b/>
      <w:bCs/>
    </w:rPr>
  </w:style>
  <w:style w:type="character" w:customStyle="1" w:styleId="41">
    <w:name w:val="bullet3 Char"/>
    <w:link w:val="42"/>
    <w:qFormat/>
    <w:uiPriority w:val="0"/>
    <w:rPr>
      <w:rFonts w:ascii="Times" w:hAnsi="Times" w:eastAsia="Batang"/>
      <w:szCs w:val="24"/>
      <w:lang w:val="en-GB" w:eastAsia="en-US"/>
    </w:rPr>
  </w:style>
  <w:style w:type="paragraph" w:customStyle="1" w:styleId="42">
    <w:name w:val="bullet3"/>
    <w:basedOn w:val="43"/>
    <w:link w:val="41"/>
    <w:qFormat/>
    <w:uiPriority w:val="0"/>
    <w:pPr>
      <w:widowControl/>
      <w:numPr>
        <w:ilvl w:val="2"/>
        <w:numId w:val="2"/>
      </w:numPr>
      <w:spacing w:after="0"/>
      <w:jc w:val="left"/>
    </w:pPr>
    <w:rPr>
      <w:rFonts w:ascii="Times" w:hAnsi="Times" w:eastAsia="Batang"/>
      <w:kern w:val="0"/>
      <w:sz w:val="20"/>
      <w:szCs w:val="24"/>
      <w:lang w:val="en-GB" w:eastAsia="en-US"/>
    </w:rPr>
  </w:style>
  <w:style w:type="paragraph" w:customStyle="1" w:styleId="43">
    <w:name w:val="text"/>
    <w:basedOn w:val="1"/>
    <w:link w:val="65"/>
    <w:qFormat/>
    <w:uiPriority w:val="0"/>
    <w:pPr>
      <w:widowControl w:val="0"/>
      <w:spacing w:after="240"/>
    </w:pPr>
    <w:rPr>
      <w:rFonts w:ascii="Calibri" w:hAnsi="Calibri"/>
      <w:kern w:val="2"/>
      <w:sz w:val="24"/>
    </w:rPr>
  </w:style>
  <w:style w:type="character" w:customStyle="1" w:styleId="44">
    <w:name w:val="List Paragraph Char"/>
    <w:link w:val="45"/>
    <w:qFormat/>
    <w:uiPriority w:val="34"/>
    <w:rPr>
      <w:rFonts w:eastAsia="Malgun Gothic"/>
      <w:lang w:val="en-GB"/>
    </w:rPr>
  </w:style>
  <w:style w:type="paragraph" w:customStyle="1" w:styleId="45">
    <w:name w:val="List Paragraph1"/>
    <w:basedOn w:val="1"/>
    <w:link w:val="44"/>
    <w:qFormat/>
    <w:uiPriority w:val="34"/>
    <w:pPr>
      <w:spacing w:after="180"/>
      <w:ind w:left="800"/>
    </w:pPr>
    <w:rPr>
      <w:rFonts w:eastAsia="Malgun Gothic"/>
      <w:lang w:val="en-GB"/>
    </w:rPr>
  </w:style>
  <w:style w:type="character" w:customStyle="1" w:styleId="46">
    <w:name w:val="Balloon Text Char"/>
    <w:link w:val="16"/>
    <w:semiHidden/>
    <w:qFormat/>
    <w:uiPriority w:val="99"/>
    <w:rPr>
      <w:rFonts w:ascii="Tahoma" w:hAnsi="Tahoma" w:cs="Tahoma"/>
      <w:sz w:val="16"/>
      <w:szCs w:val="16"/>
    </w:rPr>
  </w:style>
  <w:style w:type="character" w:customStyle="1" w:styleId="47">
    <w:name w:val="ZGSM"/>
    <w:qFormat/>
    <w:uiPriority w:val="0"/>
  </w:style>
  <w:style w:type="character" w:customStyle="1" w:styleId="48">
    <w:name w:val="Heading 2 Char"/>
    <w:link w:val="3"/>
    <w:qFormat/>
    <w:uiPriority w:val="0"/>
    <w:rPr>
      <w:rFonts w:ascii="Arial" w:hAnsi="Arial" w:eastAsia="黑体"/>
      <w:b/>
      <w:sz w:val="32"/>
      <w:szCs w:val="22"/>
    </w:rPr>
  </w:style>
  <w:style w:type="character" w:customStyle="1" w:styleId="49">
    <w:name w:val="Heading 1 Char"/>
    <w:link w:val="2"/>
    <w:qFormat/>
    <w:uiPriority w:val="99"/>
    <w:rPr>
      <w:rFonts w:ascii="Arial" w:hAnsi="Arial" w:eastAsia="黑体"/>
      <w:b/>
      <w:bCs/>
      <w:sz w:val="30"/>
      <w:szCs w:val="30"/>
      <w:lang w:val="zh-CN"/>
    </w:rPr>
  </w:style>
  <w:style w:type="character" w:customStyle="1" w:styleId="50">
    <w:name w:val="pos"/>
    <w:basedOn w:val="26"/>
    <w:qFormat/>
    <w:uiPriority w:val="0"/>
  </w:style>
  <w:style w:type="character" w:customStyle="1" w:styleId="51">
    <w:name w:val="Normal with indent Char"/>
    <w:link w:val="52"/>
    <w:qFormat/>
    <w:uiPriority w:val="0"/>
    <w:rPr>
      <w:rFonts w:ascii="Times New Roman" w:hAnsi="Times New Roman" w:eastAsia="Malgun Gothic"/>
      <w:lang w:val="en-GB" w:eastAsia="ko-KR"/>
    </w:rPr>
  </w:style>
  <w:style w:type="paragraph" w:customStyle="1" w:styleId="52">
    <w:name w:val="Normal with indent"/>
    <w:basedOn w:val="1"/>
    <w:link w:val="51"/>
    <w:qFormat/>
    <w:uiPriority w:val="0"/>
    <w:pPr>
      <w:spacing w:before="120" w:line="336" w:lineRule="auto"/>
      <w:ind w:firstLine="397"/>
    </w:pPr>
    <w:rPr>
      <w:rFonts w:eastAsia="Malgun Gothic"/>
      <w:lang w:val="en-GB" w:eastAsia="ko-KR"/>
    </w:rPr>
  </w:style>
  <w:style w:type="character" w:customStyle="1" w:styleId="53">
    <w:name w:val="word"/>
    <w:basedOn w:val="26"/>
    <w:qFormat/>
    <w:uiPriority w:val="0"/>
  </w:style>
  <w:style w:type="character" w:customStyle="1" w:styleId="54">
    <w:name w:val="Caption Char1"/>
    <w:qFormat/>
    <w:uiPriority w:val="0"/>
    <w:rPr>
      <w:rFonts w:ascii="Times New Roman" w:hAnsi="Times New Roman"/>
      <w:b/>
      <w:bCs/>
      <w:lang w:val="en-GB" w:eastAsia="sv-SE"/>
    </w:rPr>
  </w:style>
  <w:style w:type="character" w:customStyle="1" w:styleId="55">
    <w:name w:val="Heading 7 Char"/>
    <w:link w:val="8"/>
    <w:qFormat/>
    <w:uiPriority w:val="9"/>
    <w:rPr>
      <w:rFonts w:ascii="Calibri" w:hAnsi="Calibri"/>
      <w:b/>
      <w:sz w:val="24"/>
      <w:szCs w:val="22"/>
    </w:rPr>
  </w:style>
  <w:style w:type="character" w:customStyle="1" w:styleId="56">
    <w:name w:val="Heading 3 Char"/>
    <w:link w:val="4"/>
    <w:qFormat/>
    <w:uiPriority w:val="9"/>
    <w:rPr>
      <w:b/>
      <w:bCs/>
      <w:sz w:val="32"/>
      <w:szCs w:val="32"/>
    </w:rPr>
  </w:style>
  <w:style w:type="character" w:customStyle="1" w:styleId="57">
    <w:name w:val="Heading 6 Char"/>
    <w:link w:val="7"/>
    <w:qFormat/>
    <w:uiPriority w:val="9"/>
    <w:rPr>
      <w:rFonts w:ascii="Arial" w:hAnsi="Arial" w:eastAsia="黑体"/>
      <w:b/>
      <w:sz w:val="24"/>
      <w:szCs w:val="22"/>
    </w:rPr>
  </w:style>
  <w:style w:type="character" w:customStyle="1" w:styleId="58">
    <w:name w:val="TAL Char"/>
    <w:link w:val="59"/>
    <w:qFormat/>
    <w:locked/>
    <w:uiPriority w:val="0"/>
    <w:rPr>
      <w:rFonts w:ascii="Arial" w:hAnsi="Arial"/>
      <w:sz w:val="18"/>
      <w:lang w:val="en-GB" w:eastAsia="en-US"/>
    </w:rPr>
  </w:style>
  <w:style w:type="paragraph" w:customStyle="1" w:styleId="59">
    <w:name w:val="TAL"/>
    <w:basedOn w:val="1"/>
    <w:link w:val="58"/>
    <w:qFormat/>
    <w:uiPriority w:val="0"/>
    <w:pPr>
      <w:keepNext/>
      <w:keepLines/>
    </w:pPr>
    <w:rPr>
      <w:rFonts w:ascii="Arial" w:hAnsi="Arial"/>
      <w:sz w:val="18"/>
      <w:lang w:val="en-GB" w:eastAsia="en-US"/>
    </w:rPr>
  </w:style>
  <w:style w:type="character" w:customStyle="1" w:styleId="60">
    <w:name w:val="apple-style-span"/>
    <w:basedOn w:val="26"/>
    <w:qFormat/>
    <w:uiPriority w:val="0"/>
  </w:style>
  <w:style w:type="character" w:customStyle="1" w:styleId="61">
    <w:name w:val="Document Map Char"/>
    <w:link w:val="13"/>
    <w:semiHidden/>
    <w:qFormat/>
    <w:uiPriority w:val="99"/>
    <w:rPr>
      <w:rFonts w:ascii="宋体"/>
      <w:sz w:val="18"/>
      <w:szCs w:val="18"/>
    </w:rPr>
  </w:style>
  <w:style w:type="character" w:customStyle="1" w:styleId="62">
    <w:name w:val="B1 (文字)"/>
    <w:link w:val="63"/>
    <w:qFormat/>
    <w:locked/>
    <w:uiPriority w:val="99"/>
    <w:rPr>
      <w:rFonts w:ascii="Times New Roman" w:hAnsi="Times New Roman" w:eastAsia="宋体"/>
      <w:lang w:val="en-GB" w:eastAsia="en-US"/>
    </w:rPr>
  </w:style>
  <w:style w:type="paragraph" w:customStyle="1" w:styleId="63">
    <w:name w:val="B1"/>
    <w:basedOn w:val="19"/>
    <w:link w:val="62"/>
    <w:qFormat/>
    <w:uiPriority w:val="99"/>
    <w:pPr>
      <w:spacing w:after="180"/>
      <w:ind w:left="568" w:hanging="284" w:firstLineChars="0"/>
    </w:pPr>
    <w:rPr>
      <w:lang w:val="en-GB" w:eastAsia="en-US"/>
    </w:rPr>
  </w:style>
  <w:style w:type="character" w:customStyle="1" w:styleId="64">
    <w:name w:val="中等深浅网格 1 - 强调文字颜色 2 Char"/>
    <w:qFormat/>
    <w:locked/>
    <w:uiPriority w:val="34"/>
    <w:rPr>
      <w:rFonts w:ascii="Times New Roman" w:hAnsi="Times New Roman"/>
      <w:kern w:val="2"/>
      <w:sz w:val="21"/>
      <w:szCs w:val="24"/>
    </w:rPr>
  </w:style>
  <w:style w:type="character" w:customStyle="1" w:styleId="65">
    <w:name w:val="text Char"/>
    <w:link w:val="43"/>
    <w:qFormat/>
    <w:uiPriority w:val="0"/>
    <w:rPr>
      <w:rFonts w:ascii="Calibri" w:hAnsi="Calibri"/>
      <w:kern w:val="2"/>
      <w:sz w:val="24"/>
    </w:rPr>
  </w:style>
  <w:style w:type="character" w:customStyle="1" w:styleId="66">
    <w:name w:val="Caption Char"/>
    <w:link w:val="12"/>
    <w:qFormat/>
    <w:uiPriority w:val="0"/>
    <w:rPr>
      <w:rFonts w:ascii="Times New Roman" w:hAnsi="Times New Roman"/>
      <w:b/>
      <w:bCs/>
      <w:lang w:val="en-GB" w:eastAsia="sv-SE"/>
    </w:rPr>
  </w:style>
  <w:style w:type="character" w:customStyle="1" w:styleId="67">
    <w:name w:val="B1 Zchn"/>
    <w:qFormat/>
    <w:uiPriority w:val="0"/>
    <w:rPr>
      <w:rFonts w:eastAsia="宋体"/>
      <w:lang w:val="en-GB" w:eastAsia="en-US"/>
    </w:rPr>
  </w:style>
  <w:style w:type="character" w:customStyle="1" w:styleId="68">
    <w:name w:val="bullet1 Char"/>
    <w:link w:val="69"/>
    <w:qFormat/>
    <w:uiPriority w:val="0"/>
    <w:rPr>
      <w:rFonts w:ascii="Calibri" w:hAnsi="Calibri"/>
      <w:kern w:val="2"/>
      <w:sz w:val="24"/>
      <w:szCs w:val="24"/>
      <w:lang w:val="en-GB"/>
    </w:rPr>
  </w:style>
  <w:style w:type="paragraph" w:customStyle="1" w:styleId="69">
    <w:name w:val="bullet1"/>
    <w:basedOn w:val="43"/>
    <w:link w:val="68"/>
    <w:qFormat/>
    <w:uiPriority w:val="0"/>
    <w:pPr>
      <w:widowControl/>
      <w:numPr>
        <w:ilvl w:val="0"/>
        <w:numId w:val="2"/>
      </w:numPr>
      <w:spacing w:after="0"/>
      <w:jc w:val="left"/>
    </w:pPr>
    <w:rPr>
      <w:szCs w:val="24"/>
      <w:lang w:val="en-GB"/>
    </w:rPr>
  </w:style>
  <w:style w:type="character" w:customStyle="1" w:styleId="70">
    <w:name w:val="Heading 8 Char"/>
    <w:link w:val="9"/>
    <w:qFormat/>
    <w:uiPriority w:val="9"/>
    <w:rPr>
      <w:rFonts w:ascii="Arial" w:hAnsi="Arial" w:eastAsia="黑体"/>
      <w:sz w:val="24"/>
      <w:szCs w:val="22"/>
    </w:rPr>
  </w:style>
  <w:style w:type="character" w:customStyle="1" w:styleId="71">
    <w:name w:val="Comment Text Char"/>
    <w:basedOn w:val="26"/>
    <w:link w:val="14"/>
    <w:qFormat/>
    <w:uiPriority w:val="99"/>
  </w:style>
  <w:style w:type="character" w:customStyle="1" w:styleId="72">
    <w:name w:val="TAC Char"/>
    <w:link w:val="73"/>
    <w:qFormat/>
    <w:uiPriority w:val="0"/>
    <w:rPr>
      <w:rFonts w:ascii="Arial" w:hAnsi="Arial" w:eastAsia="Times New Roman"/>
      <w:sz w:val="18"/>
      <w:lang w:val="en-GB" w:eastAsia="en-GB"/>
    </w:rPr>
  </w:style>
  <w:style w:type="paragraph" w:customStyle="1" w:styleId="73">
    <w:name w:val="TAC"/>
    <w:basedOn w:val="59"/>
    <w:link w:val="72"/>
    <w:qFormat/>
    <w:uiPriority w:val="0"/>
    <w:pPr>
      <w:overflowPunct w:val="0"/>
      <w:autoSpaceDE w:val="0"/>
      <w:autoSpaceDN w:val="0"/>
      <w:adjustRightInd w:val="0"/>
      <w:jc w:val="center"/>
      <w:textAlignment w:val="baseline"/>
    </w:pPr>
    <w:rPr>
      <w:rFonts w:eastAsia="Times New Roman"/>
      <w:lang w:eastAsia="en-GB"/>
    </w:rPr>
  </w:style>
  <w:style w:type="character" w:customStyle="1" w:styleId="74">
    <w:name w:val="TH Char"/>
    <w:link w:val="75"/>
    <w:qFormat/>
    <w:uiPriority w:val="0"/>
    <w:rPr>
      <w:rFonts w:ascii="Arial" w:hAnsi="Arial"/>
      <w:b/>
      <w:lang w:val="en-GB" w:eastAsia="en-US"/>
    </w:rPr>
  </w:style>
  <w:style w:type="paragraph" w:customStyle="1" w:styleId="75">
    <w:name w:val="TH"/>
    <w:basedOn w:val="1"/>
    <w:link w:val="74"/>
    <w:qFormat/>
    <w:uiPriority w:val="0"/>
    <w:pPr>
      <w:keepNext/>
      <w:keepLines/>
      <w:spacing w:before="60" w:after="180"/>
      <w:jc w:val="center"/>
    </w:pPr>
    <w:rPr>
      <w:rFonts w:ascii="Arial" w:hAnsi="Arial"/>
      <w:b/>
      <w:lang w:val="en-GB" w:eastAsia="en-US"/>
    </w:rPr>
  </w:style>
  <w:style w:type="character" w:customStyle="1" w:styleId="76">
    <w:name w:val="Body Text Char"/>
    <w:link w:val="15"/>
    <w:qFormat/>
    <w:uiPriority w:val="0"/>
    <w:rPr>
      <w:rFonts w:ascii="Times New Roman" w:hAnsi="Times New Roman"/>
      <w:color w:val="0000FF"/>
      <w:kern w:val="2"/>
      <w:sz w:val="21"/>
    </w:rPr>
  </w:style>
  <w:style w:type="character" w:customStyle="1" w:styleId="77">
    <w:name w:val="high-light"/>
    <w:basedOn w:val="26"/>
    <w:qFormat/>
    <w:uiPriority w:val="0"/>
  </w:style>
  <w:style w:type="character" w:customStyle="1" w:styleId="78">
    <w:name w:val="Footnote Text Char"/>
    <w:link w:val="20"/>
    <w:semiHidden/>
    <w:qFormat/>
    <w:uiPriority w:val="0"/>
    <w:rPr>
      <w:rFonts w:ascii="Times" w:hAnsi="Times" w:eastAsia="Batang"/>
      <w:lang w:eastAsia="en-US"/>
    </w:rPr>
  </w:style>
  <w:style w:type="character" w:customStyle="1" w:styleId="79">
    <w:name w:val="Header Char"/>
    <w:link w:val="18"/>
    <w:qFormat/>
    <w:uiPriority w:val="0"/>
    <w:rPr>
      <w:rFonts w:ascii="Arial" w:hAnsi="Arial" w:eastAsia="MS Mincho"/>
      <w:b/>
      <w:szCs w:val="24"/>
      <w:lang w:eastAsia="en-US"/>
    </w:rPr>
  </w:style>
  <w:style w:type="character" w:customStyle="1" w:styleId="80">
    <w:name w:val="bullet2 Char"/>
    <w:link w:val="81"/>
    <w:qFormat/>
    <w:uiPriority w:val="0"/>
    <w:rPr>
      <w:rFonts w:ascii="Times" w:hAnsi="Times"/>
      <w:kern w:val="2"/>
      <w:sz w:val="24"/>
      <w:szCs w:val="24"/>
      <w:lang w:val="en-GB"/>
    </w:rPr>
  </w:style>
  <w:style w:type="paragraph" w:customStyle="1" w:styleId="81">
    <w:name w:val="bullet2"/>
    <w:basedOn w:val="43"/>
    <w:link w:val="80"/>
    <w:qFormat/>
    <w:uiPriority w:val="0"/>
    <w:pPr>
      <w:widowControl/>
      <w:numPr>
        <w:ilvl w:val="1"/>
        <w:numId w:val="2"/>
      </w:numPr>
      <w:spacing w:after="0"/>
      <w:jc w:val="left"/>
    </w:pPr>
    <w:rPr>
      <w:rFonts w:ascii="Times" w:hAnsi="Times"/>
      <w:szCs w:val="24"/>
      <w:lang w:val="en-GB"/>
    </w:rPr>
  </w:style>
  <w:style w:type="paragraph" w:customStyle="1" w:styleId="82">
    <w:name w:val="RAN1 bullet2"/>
    <w:basedOn w:val="1"/>
    <w:qFormat/>
    <w:uiPriority w:val="0"/>
    <w:pPr>
      <w:numPr>
        <w:ilvl w:val="1"/>
        <w:numId w:val="3"/>
      </w:numPr>
    </w:pPr>
  </w:style>
  <w:style w:type="paragraph" w:customStyle="1" w:styleId="83">
    <w:name w:val="RAN1 text"/>
    <w:basedOn w:val="15"/>
    <w:qFormat/>
    <w:uiPriority w:val="0"/>
    <w:rPr>
      <w:rFonts w:eastAsia="MS Mincho"/>
    </w:rPr>
  </w:style>
  <w:style w:type="paragraph" w:customStyle="1" w:styleId="84">
    <w:name w:val="EQ"/>
    <w:basedOn w:val="1"/>
    <w:next w:val="1"/>
    <w:qFormat/>
    <w:uiPriority w:val="0"/>
    <w:pPr>
      <w:keepLines/>
      <w:tabs>
        <w:tab w:val="center" w:pos="4536"/>
        <w:tab w:val="right" w:pos="9072"/>
      </w:tabs>
      <w:spacing w:after="180"/>
    </w:pPr>
    <w:rPr>
      <w:lang w:val="en-GB" w:eastAsia="en-US"/>
    </w:rPr>
  </w:style>
  <w:style w:type="paragraph" w:customStyle="1" w:styleId="85">
    <w:name w:val="Colorful List - Accent 11"/>
    <w:basedOn w:val="1"/>
    <w:qFormat/>
    <w:uiPriority w:val="99"/>
    <w:pPr>
      <w:widowControl w:val="0"/>
      <w:ind w:firstLine="420" w:firstLineChars="200"/>
    </w:pPr>
    <w:rPr>
      <w:kern w:val="2"/>
      <w:sz w:val="21"/>
      <w:szCs w:val="24"/>
    </w:rPr>
  </w:style>
  <w:style w:type="paragraph" w:customStyle="1" w:styleId="86">
    <w:name w:val="_Style 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87">
    <w:name w:val="LGTdoc_제목1"/>
    <w:basedOn w:val="1"/>
    <w:qFormat/>
    <w:uiPriority w:val="0"/>
    <w:pPr>
      <w:adjustRightInd w:val="0"/>
      <w:snapToGrid w:val="0"/>
      <w:spacing w:after="100" w:afterAutospacing="1"/>
    </w:pPr>
    <w:rPr>
      <w:rFonts w:eastAsia="Batang"/>
      <w:b/>
      <w:snapToGrid w:val="0"/>
      <w:sz w:val="28"/>
      <w:lang w:val="en-GB" w:eastAsia="ko-KR"/>
    </w:rPr>
  </w:style>
  <w:style w:type="paragraph" w:customStyle="1" w:styleId="88">
    <w:name w:val="No Spacing1"/>
    <w:qFormat/>
    <w:uiPriority w:val="1"/>
    <w:pPr>
      <w:spacing w:after="160" w:line="259" w:lineRule="auto"/>
    </w:pPr>
    <w:rPr>
      <w:rFonts w:ascii="Calibri" w:hAnsi="Calibri" w:eastAsia="宋体" w:cs="Times New Roman"/>
      <w:sz w:val="22"/>
      <w:szCs w:val="22"/>
      <w:lang w:val="en-US" w:eastAsia="zh-CN" w:bidi="ar-SA"/>
    </w:rPr>
  </w:style>
  <w:style w:type="paragraph" w:customStyle="1" w:styleId="89">
    <w:name w:val="PaperTableCell"/>
    <w:basedOn w:val="1"/>
    <w:qFormat/>
    <w:uiPriority w:val="0"/>
    <w:rPr>
      <w:rFonts w:eastAsia="Times New Roman"/>
      <w:sz w:val="16"/>
      <w:szCs w:val="24"/>
      <w:lang w:eastAsia="en-US"/>
    </w:rPr>
  </w:style>
  <w:style w:type="paragraph" w:customStyle="1" w:styleId="90">
    <w:name w:val="Medium Shading 1 - Accent 11"/>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1">
    <w:name w:val="彩色列表 - 强调文字颜色 11"/>
    <w:basedOn w:val="1"/>
    <w:qFormat/>
    <w:uiPriority w:val="34"/>
    <w:pPr>
      <w:widowControl w:val="0"/>
      <w:ind w:firstLine="420" w:firstLineChars="200"/>
    </w:pPr>
    <w:rPr>
      <w:kern w:val="2"/>
      <w:sz w:val="21"/>
    </w:rPr>
  </w:style>
  <w:style w:type="paragraph" w:customStyle="1" w:styleId="92">
    <w:name w:val="_Style 2"/>
    <w:qFormat/>
    <w:uiPriority w:val="99"/>
    <w:pPr>
      <w:spacing w:after="160" w:line="259" w:lineRule="auto"/>
    </w:pPr>
    <w:rPr>
      <w:rFonts w:ascii="Times New Roman" w:hAnsi="Times New Roman" w:eastAsia="宋体" w:cs="Times New Roman"/>
      <w:sz w:val="22"/>
      <w:szCs w:val="22"/>
      <w:lang w:val="en-US" w:eastAsia="zh-CN" w:bidi="ar-SA"/>
    </w:rPr>
  </w:style>
  <w:style w:type="paragraph" w:customStyle="1" w:styleId="93">
    <w:name w:val="RAN1 bullet3"/>
    <w:basedOn w:val="82"/>
    <w:qFormat/>
    <w:uiPriority w:val="0"/>
    <w:pPr>
      <w:numPr>
        <w:ilvl w:val="2"/>
        <w:numId w:val="4"/>
      </w:numPr>
    </w:pPr>
  </w:style>
  <w:style w:type="paragraph" w:customStyle="1" w:styleId="94">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Times New Roman" w:cs="Times New Roman"/>
      <w:b/>
      <w:sz w:val="34"/>
      <w:lang w:val="en-GB" w:eastAsia="ja-JP" w:bidi="ar-SA"/>
    </w:rPr>
  </w:style>
  <w:style w:type="paragraph" w:customStyle="1" w:styleId="95">
    <w:name w:val="TF"/>
    <w:basedOn w:val="75"/>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96">
    <w:name w:val="RAN1 bullet1"/>
    <w:basedOn w:val="1"/>
    <w:qFormat/>
    <w:uiPriority w:val="0"/>
    <w:pPr>
      <w:numPr>
        <w:ilvl w:val="0"/>
        <w:numId w:val="5"/>
      </w:numPr>
    </w:pPr>
  </w:style>
  <w:style w:type="paragraph" w:customStyle="1" w:styleId="97">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eastAsia="宋体" w:cs="Arial"/>
      <w:color w:val="0000FF"/>
      <w:kern w:val="2"/>
      <w:lang w:val="en-US" w:eastAsia="zh-CN" w:bidi="ar-SA"/>
    </w:rPr>
  </w:style>
  <w:style w:type="paragraph" w:customStyle="1" w:styleId="98">
    <w:name w:val="No Spacing1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9">
    <w:name w:val="彩色底纹 - 强调文字颜色 1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100">
    <w:name w:val="表格文字居左"/>
    <w:basedOn w:val="1"/>
    <w:next w:val="1"/>
    <w:qFormat/>
    <w:uiPriority w:val="0"/>
    <w:pPr>
      <w:widowControl w:val="0"/>
    </w:pPr>
    <w:rPr>
      <w:rFonts w:ascii="Arial" w:hAnsi="Arial" w:cs="宋体"/>
      <w:kern w:val="2"/>
      <w:sz w:val="21"/>
    </w:rPr>
  </w:style>
  <w:style w:type="paragraph" w:customStyle="1" w:styleId="101">
    <w:name w:val="List Paragraph11"/>
    <w:basedOn w:val="1"/>
    <w:qFormat/>
    <w:uiPriority w:val="34"/>
    <w:pPr>
      <w:widowControl w:val="0"/>
      <w:ind w:firstLine="420" w:firstLineChars="200"/>
    </w:pPr>
    <w:rPr>
      <w:kern w:val="2"/>
      <w:sz w:val="21"/>
    </w:rPr>
  </w:style>
  <w:style w:type="paragraph" w:customStyle="1" w:styleId="102">
    <w:name w:val="Medium List 2 - Accent 21"/>
    <w:qFormat/>
    <w:uiPriority w:val="71"/>
    <w:pPr>
      <w:spacing w:after="160" w:line="259" w:lineRule="auto"/>
    </w:pPr>
    <w:rPr>
      <w:rFonts w:ascii="Times New Roman" w:hAnsi="Times New Roman" w:eastAsia="宋体" w:cs="Times New Roman"/>
      <w:sz w:val="22"/>
      <w:szCs w:val="22"/>
      <w:lang w:val="en-US" w:eastAsia="zh-CN" w:bidi="ar-SA"/>
    </w:rPr>
  </w:style>
  <w:style w:type="paragraph" w:customStyle="1" w:styleId="103">
    <w:name w:val="bullet4"/>
    <w:basedOn w:val="43"/>
    <w:qFormat/>
    <w:uiPriority w:val="0"/>
    <w:pPr>
      <w:widowControl/>
      <w:numPr>
        <w:ilvl w:val="3"/>
        <w:numId w:val="2"/>
      </w:numPr>
      <w:tabs>
        <w:tab w:val="left" w:pos="360"/>
        <w:tab w:val="left" w:pos="864"/>
      </w:tabs>
      <w:spacing w:after="0"/>
      <w:ind w:left="0" w:firstLine="0"/>
      <w:jc w:val="left"/>
    </w:pPr>
    <w:rPr>
      <w:rFonts w:ascii="Times" w:hAnsi="Times" w:eastAsia="Batang"/>
      <w:kern w:val="0"/>
      <w:sz w:val="20"/>
      <w:szCs w:val="24"/>
      <w:lang w:val="en-GB" w:eastAsia="en-US"/>
    </w:rPr>
  </w:style>
  <w:style w:type="paragraph" w:customStyle="1" w:styleId="104">
    <w:name w:val="CR Cover Page"/>
    <w:qFormat/>
    <w:uiPriority w:val="0"/>
    <w:pPr>
      <w:spacing w:after="120" w:line="259" w:lineRule="auto"/>
    </w:pPr>
    <w:rPr>
      <w:rFonts w:ascii="Arial" w:hAnsi="Arial" w:eastAsia="MS Mincho" w:cs="Times New Roman"/>
      <w:lang w:val="en-GB" w:eastAsia="en-US" w:bidi="ar-SA"/>
    </w:rPr>
  </w:style>
  <w:style w:type="paragraph" w:customStyle="1" w:styleId="105">
    <w:name w:val="reader-word-layer"/>
    <w:basedOn w:val="1"/>
    <w:qFormat/>
    <w:uiPriority w:val="0"/>
    <w:pPr>
      <w:spacing w:before="100" w:beforeAutospacing="1" w:after="100" w:afterAutospacing="1"/>
    </w:pPr>
    <w:rPr>
      <w:rFonts w:ascii="宋体" w:hAnsi="宋体" w:cs="宋体"/>
      <w:sz w:val="24"/>
      <w:szCs w:val="24"/>
    </w:rPr>
  </w:style>
  <w:style w:type="paragraph" w:customStyle="1" w:styleId="106">
    <w:name w:val="TAH"/>
    <w:basedOn w:val="73"/>
    <w:qFormat/>
    <w:uiPriority w:val="0"/>
    <w:rPr>
      <w:b/>
    </w:rPr>
  </w:style>
  <w:style w:type="paragraph" w:customStyle="1" w:styleId="107">
    <w:name w:val="Tdoc_Header_2"/>
    <w:basedOn w:val="1"/>
    <w:qFormat/>
    <w:uiPriority w:val="0"/>
    <w:pPr>
      <w:widowControl w:val="0"/>
      <w:tabs>
        <w:tab w:val="left" w:pos="1701"/>
        <w:tab w:val="right" w:pos="9072"/>
        <w:tab w:val="right" w:pos="10206"/>
      </w:tabs>
    </w:pPr>
    <w:rPr>
      <w:rFonts w:ascii="Arial" w:hAnsi="Arial" w:eastAsia="Batang"/>
      <w:b/>
      <w:sz w:val="18"/>
      <w:lang w:val="en-GB" w:eastAsia="en-US"/>
    </w:rPr>
  </w:style>
  <w:style w:type="paragraph" w:customStyle="1" w:styleId="108">
    <w:name w:val="tal"/>
    <w:basedOn w:val="1"/>
    <w:qFormat/>
    <w:uiPriority w:val="0"/>
    <w:pPr>
      <w:keepNext/>
    </w:pPr>
    <w:rPr>
      <w:rFonts w:ascii="Arial" w:hAnsi="Arial" w:eastAsia="Gulim" w:cs="Arial"/>
      <w:sz w:val="18"/>
      <w:szCs w:val="18"/>
      <w:lang w:eastAsia="ko-KR"/>
    </w:rPr>
  </w:style>
  <w:style w:type="table" w:customStyle="1" w:styleId="109">
    <w:name w:val="网格型1"/>
    <w:basedOn w:val="23"/>
    <w:qFormat/>
    <w:uiPriority w:val="59"/>
    <w:tblPr>
      <w:tblBorders>
        <w:top w:val="single" w:color="008ED3" w:sz="4" w:space="0"/>
        <w:left w:val="single" w:color="008ED3" w:sz="4" w:space="0"/>
        <w:bottom w:val="single" w:color="008ED3" w:sz="4" w:space="0"/>
        <w:right w:val="single" w:color="008ED3" w:sz="4" w:space="0"/>
        <w:insideH w:val="single" w:color="008ED3" w:sz="4" w:space="0"/>
        <w:insideV w:val="single" w:color="008ED3" w:sz="4" w:space="0"/>
      </w:tblBorders>
      <w:tblCellMar>
        <w:top w:w="0" w:type="dxa"/>
        <w:left w:w="108" w:type="dxa"/>
        <w:bottom w:w="0" w:type="dxa"/>
        <w:right w:w="108" w:type="dxa"/>
      </w:tblCellMar>
    </w:tblPr>
  </w:style>
  <w:style w:type="character" w:customStyle="1" w:styleId="110">
    <w:name w:val="msoins2"/>
    <w:qFormat/>
    <w:uiPriority w:val="0"/>
  </w:style>
  <w:style w:type="paragraph" w:customStyle="1" w:styleId="111">
    <w:name w:val="B2"/>
    <w:basedOn w:val="1"/>
    <w:qFormat/>
    <w:uiPriority w:val="0"/>
    <w:pPr>
      <w:ind w:left="851" w:hanging="284"/>
    </w:pPr>
    <w:rPr>
      <w:lang w:val="zh-CN"/>
    </w:rPr>
  </w:style>
  <w:style w:type="paragraph" w:customStyle="1" w:styleId="112">
    <w:name w:val="List Paragraph2"/>
    <w:basedOn w:val="1"/>
    <w:qFormat/>
    <w:uiPriority w:val="34"/>
    <w:pPr>
      <w:ind w:firstLine="420" w:firstLineChars="200"/>
    </w:pPr>
  </w:style>
  <w:style w:type="paragraph" w:styleId="113">
    <w:name w:val="List Paragraph"/>
    <w:basedOn w:val="1"/>
    <w:qFormat/>
    <w:uiPriority w:val="99"/>
    <w:pPr>
      <w:ind w:firstLine="420" w:firstLineChars="200"/>
    </w:pPr>
  </w:style>
  <w:style w:type="paragraph" w:customStyle="1" w:styleId="114">
    <w:name w:val="x_msonormal"/>
    <w:basedOn w:val="1"/>
    <w:qFormat/>
    <w:uiPriority w:val="99"/>
    <w:pPr>
      <w:spacing w:before="100" w:beforeAutospacing="1" w:after="100" w:afterAutospacing="1"/>
    </w:pPr>
    <w:rPr>
      <w:rFonts w:ascii="Calibri" w:hAnsi="Calibri" w:cs="Calibri" w:eastAsiaTheme="minorHAnsi"/>
      <w:lang w:eastAsia="en-GB"/>
    </w:rPr>
  </w:style>
  <w:style w:type="paragraph" w:customStyle="1" w:styleId="115">
    <w:name w:val="List Paragraph5"/>
    <w:basedOn w:val="1"/>
    <w:qFormat/>
    <w:uiPriority w:val="34"/>
    <w:pPr>
      <w:ind w:firstLine="420" w:firstLineChars="200"/>
    </w:pPr>
  </w:style>
  <w:style w:type="paragraph" w:customStyle="1" w:styleId="116">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Times New Roman" w:cs="Times New Roman"/>
      <w:sz w:val="24"/>
      <w:szCs w:val="24"/>
      <w:lang w:val="en-US" w:eastAsia="zh-CN" w:bidi="ar-SA"/>
    </w:rPr>
  </w:style>
  <w:style w:type="paragraph" w:customStyle="1" w:styleId="117">
    <w:name w:val="标题 41"/>
    <w:basedOn w:val="1"/>
    <w:next w:val="116"/>
    <w:qFormat/>
    <w:uiPriority w:val="0"/>
    <w:pPr>
      <w:keepNext/>
      <w:keepLines/>
      <w:widowControl w:val="0"/>
      <w:overflowPunct w:val="0"/>
      <w:autoSpaceDE w:val="0"/>
      <w:autoSpaceDN w:val="0"/>
      <w:adjustRightInd w:val="0"/>
      <w:spacing w:before="120" w:beforeLines="0" w:after="180" w:line="240" w:lineRule="auto"/>
      <w:ind w:left="1418" w:hanging="1418"/>
      <w:textAlignment w:val="baseline"/>
      <w:outlineLvl w:val="3"/>
    </w:pPr>
    <w:rPr>
      <w:rFonts w:ascii="Arial" w:hAnsi="Arial" w:eastAsia="Times New Roman"/>
      <w:sz w:val="24"/>
      <w:szCs w:val="24"/>
    </w:rPr>
  </w:style>
  <w:style w:type="paragraph" w:customStyle="1" w:styleId="118">
    <w:name w:val="PL"/>
    <w:basedOn w:val="1"/>
    <w:qFormat/>
    <w:uiPriority w:val="0"/>
    <w:pPr>
      <w:shd w:val="clear" w:color="auto" w:fill="E6E6E6"/>
      <w:overflowPunct w:val="0"/>
      <w:autoSpaceDE w:val="0"/>
      <w:autoSpaceDN w:val="0"/>
      <w:adjustRightInd w:val="0"/>
      <w:spacing w:before="0" w:beforeLines="0" w:after="0" w:line="240" w:lineRule="auto"/>
      <w:textAlignment w:val="baseline"/>
    </w:pPr>
    <w:rPr>
      <w:rFonts w:ascii="Courier New" w:hAnsi="Courier New" w:eastAsia="Times New Roman"/>
      <w:sz w:val="16"/>
      <w:szCs w:val="16"/>
    </w:rPr>
  </w:style>
  <w:style w:type="paragraph" w:customStyle="1" w:styleId="119">
    <w:name w:val="Revision"/>
    <w:hidden/>
    <w:semiHidden/>
    <w:qFormat/>
    <w:uiPriority w:val="99"/>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1" Type="http://schemas.openxmlformats.org/officeDocument/2006/relationships/fontTable" Target="fontTable.xml"/><Relationship Id="rId20" Type="http://schemas.openxmlformats.org/officeDocument/2006/relationships/customXml" Target="../customXml/item2.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4.emf"/><Relationship Id="rId16" Type="http://schemas.openxmlformats.org/officeDocument/2006/relationships/oleObject" Target="embeddings/oleObject4.bin"/><Relationship Id="rId15" Type="http://schemas.openxmlformats.org/officeDocument/2006/relationships/image" Target="media/image3.emf"/><Relationship Id="rId14" Type="http://schemas.openxmlformats.org/officeDocument/2006/relationships/oleObject" Target="embeddings/oleObject3.bin"/><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853411-A239-4778-96FD-61E963C25B75}">
  <ds:schemaRefs/>
</ds:datastoreItem>
</file>

<file path=docProps/app.xml><?xml version="1.0" encoding="utf-8"?>
<Properties xmlns="http://schemas.openxmlformats.org/officeDocument/2006/extended-properties" xmlns:vt="http://schemas.openxmlformats.org/officeDocument/2006/docPropsVTypes">
  <Template>Normal.dotm</Template>
  <Company>www.zte.com.cn</Company>
  <Pages>15</Pages>
  <Words>5816</Words>
  <Characters>33156</Characters>
  <Lines>276</Lines>
  <Paragraphs>77</Paragraphs>
  <TotalTime>4</TotalTime>
  <ScaleCrop>false</ScaleCrop>
  <LinksUpToDate>false</LinksUpToDate>
  <CharactersWithSpaces>38895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2021-05-10T07:00:00Z</dcterms:created>
  <dc:creator>ZTE</dc:creator>
  <cp:lastModifiedBy>SHAO Shijia</cp:lastModifiedBy>
  <dcterms:modified xsi:type="dcterms:W3CDTF">2021-08-06T09:21:27Z</dcterms:modified>
  <dc:title>3GPP TSG-RAN WG1 #78bis</dc:title>
  <cp:revision>79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